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ED4814">
        <w:rPr>
          <w:rFonts w:ascii="Bookman Old Style" w:hAnsi="Bookman Old Style"/>
          <w:sz w:val="24"/>
          <w:szCs w:val="24"/>
        </w:rPr>
        <w:t>122</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D481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ED4814">
        <w:rPr>
          <w:rFonts w:ascii="Bookman Old Style" w:hAnsi="Bookman Old Style"/>
          <w:sz w:val="24"/>
          <w:szCs w:val="24"/>
        </w:rPr>
        <w:t>22</w:t>
      </w:r>
      <w:r w:rsidRPr="0024324E">
        <w:rPr>
          <w:rFonts w:ascii="Bookman Old Style" w:hAnsi="Bookman Old Style"/>
          <w:sz w:val="24"/>
          <w:szCs w:val="24"/>
        </w:rPr>
        <w:t xml:space="preserve">/2019 e a modalidade pregão presencial nº </w:t>
      </w:r>
      <w:r w:rsidR="00ED4814">
        <w:rPr>
          <w:rFonts w:ascii="Bookman Old Style" w:hAnsi="Bookman Old Style"/>
          <w:sz w:val="24"/>
          <w:szCs w:val="24"/>
        </w:rPr>
        <w:t>78</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784734">
        <w:rPr>
          <w:rFonts w:ascii="Bookman Old Style" w:hAnsi="Bookman Old Style"/>
          <w:b/>
          <w:sz w:val="24"/>
          <w:szCs w:val="24"/>
        </w:rPr>
        <w:t>13:15</w:t>
      </w:r>
      <w:r w:rsidR="00ED4814">
        <w:rPr>
          <w:rFonts w:ascii="Bookman Old Style" w:hAnsi="Bookman Old Style"/>
          <w:b/>
          <w:sz w:val="24"/>
          <w:szCs w:val="24"/>
        </w:rPr>
        <w:t xml:space="preserve"> hrs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784734">
        <w:rPr>
          <w:rFonts w:ascii="Bookman Old Style" w:hAnsi="Bookman Old Style"/>
          <w:b/>
          <w:sz w:val="24"/>
          <w:szCs w:val="24"/>
        </w:rPr>
        <w:t>25</w:t>
      </w:r>
      <w:r w:rsidR="00B118A4">
        <w:rPr>
          <w:rFonts w:ascii="Bookman Old Style" w:hAnsi="Bookman Old Style"/>
          <w:b/>
          <w:sz w:val="24"/>
          <w:szCs w:val="24"/>
        </w:rPr>
        <w:t>/10</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784734">
        <w:rPr>
          <w:rFonts w:ascii="Bookman Old Style" w:hAnsi="Bookman Old Style"/>
          <w:b/>
          <w:sz w:val="24"/>
          <w:szCs w:val="24"/>
        </w:rPr>
        <w:t>13:15</w:t>
      </w:r>
      <w:r w:rsidR="00ED4814">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ED4814" w:rsidRPr="00ED4814">
        <w:rPr>
          <w:rFonts w:ascii="Bookman Old Style" w:hAnsi="Bookman Old Style"/>
          <w:b/>
          <w:bCs/>
          <w:sz w:val="24"/>
          <w:szCs w:val="24"/>
        </w:rPr>
        <w:t>A PRESENTE LICITAÇÃO VISA EVENTUAL E FUTURA AQUISIÇÃO DE TELA SOLDADA EM ARAME GALVANIZADO, PARA ATENDIMENTO DA SECRETARIA MUNICIPAL DE INFRA-ESTRUTURA, PELO SISTEMA DE REGISTRO DE PREÇOS, VÁLIDO POR 01 (UM) ANO</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ED4814">
        <w:rPr>
          <w:rFonts w:ascii="Bookman Old Style" w:hAnsi="Bookman Old Style"/>
          <w:sz w:val="24"/>
          <w:szCs w:val="24"/>
        </w:rPr>
        <w:t>22</w:t>
      </w:r>
      <w:r w:rsidRPr="0024324E">
        <w:rPr>
          <w:rFonts w:ascii="Bookman Old Style" w:hAnsi="Bookman Old Style"/>
          <w:sz w:val="24"/>
          <w:szCs w:val="24"/>
        </w:rPr>
        <w:t xml:space="preserve">/2019 Modalidade Pregão Presencial nº </w:t>
      </w:r>
      <w:fldSimple w:instr=" DOCVARIABLE &quot;NumLicitacao&quot; \* MERGEFORMAT ">
        <w:r w:rsidR="00ED4814">
          <w:rPr>
            <w:rFonts w:ascii="Bookman Old Style" w:hAnsi="Bookman Old Style"/>
            <w:sz w:val="24"/>
            <w:szCs w:val="24"/>
          </w:rPr>
          <w:t>78</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ED4814" w:rsidRDefault="00136074" w:rsidP="00ED4814">
      <w:pPr>
        <w:pStyle w:val="PargrafodaLista"/>
        <w:suppressAutoHyphens w:val="0"/>
        <w:spacing w:before="120" w:after="120"/>
        <w:ind w:left="0"/>
        <w:rPr>
          <w:rFonts w:ascii="Arial" w:hAnsi="Arial" w:cs="Arial"/>
          <w:color w:val="FF0000"/>
        </w:rPr>
      </w:pPr>
      <w:r w:rsidRPr="0024324E">
        <w:rPr>
          <w:rFonts w:ascii="Bookman Old Style" w:hAnsi="Bookman Old Style"/>
          <w:b/>
          <w:bCs/>
        </w:rPr>
        <w:lastRenderedPageBreak/>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lastRenderedPageBreak/>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D4F20">
        <w:rPr>
          <w:rFonts w:ascii="Bookman Old Style" w:hAnsi="Bookman Old Style"/>
          <w:sz w:val="24"/>
          <w:szCs w:val="24"/>
        </w:rPr>
        <w:t>1</w:t>
      </w:r>
      <w:r w:rsidR="00ED4814">
        <w:rPr>
          <w:rFonts w:ascii="Bookman Old Style" w:hAnsi="Bookman Old Style"/>
          <w:sz w:val="24"/>
          <w:szCs w:val="24"/>
        </w:rPr>
        <w:t>22</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ED481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24324E">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 xml:space="preserve">Ata de </w:t>
      </w:r>
      <w:r w:rsidR="00FD523E" w:rsidRPr="0024324E">
        <w:rPr>
          <w:rFonts w:ascii="Bookman Old Style" w:hAnsi="Bookman Old Style"/>
          <w:sz w:val="24"/>
          <w:szCs w:val="24"/>
        </w:rPr>
        <w:lastRenderedPageBreak/>
        <w:t>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lastRenderedPageBreak/>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24324E">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784734">
        <w:rPr>
          <w:rFonts w:ascii="Bookman Old Style" w:hAnsi="Bookman Old Style"/>
          <w:sz w:val="24"/>
          <w:szCs w:val="24"/>
        </w:rPr>
        <w:t>14 de outubro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784734">
        <w:rPr>
          <w:rFonts w:ascii="Bookman Old Style" w:hAnsi="Bookman Old Style"/>
          <w:sz w:val="24"/>
          <w:szCs w:val="24"/>
        </w:rPr>
        <w:t>122</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78473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784734" w:rsidRPr="00784734">
        <w:rPr>
          <w:rFonts w:ascii="Bookman Old Style" w:hAnsi="Bookman Old Style"/>
          <w:b/>
          <w:bCs/>
          <w:sz w:val="24"/>
          <w:szCs w:val="24"/>
        </w:rPr>
        <w:t>A PRESENTE LICITAÇÃO VISA EVENTUAL E FUTURA AQUISIÇÃO DE TELA SOLDADA EM ARAME GALVANIZADO, PARA ATENDIMENTO DA SECRETARIA MUNICIPAL DE INFRA-ESTRUTURA, PELO SISTEMA DE REGISTRO DE PREÇOS, VÁLIDO POR 01 (UM) ANO</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784734" w:rsidRDefault="00784734" w:rsidP="00784734">
      <w:pPr>
        <w:spacing w:line="276" w:lineRule="auto"/>
        <w:jc w:val="both"/>
        <w:rPr>
          <w:rFonts w:ascii="Bookman Old Style" w:hAnsi="Bookman Old Style" w:cs="MoolBoran"/>
          <w:sz w:val="24"/>
          <w:szCs w:val="24"/>
        </w:rPr>
      </w:pPr>
    </w:p>
    <w:p w:rsidR="00784734" w:rsidRDefault="00784734" w:rsidP="0078473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3"/>
        <w:gridCol w:w="730"/>
        <w:gridCol w:w="3186"/>
        <w:gridCol w:w="1260"/>
        <w:gridCol w:w="1052"/>
      </w:tblGrid>
      <w:tr w:rsidR="00784734" w:rsidTr="00784734">
        <w:trPr>
          <w:jc w:val="center"/>
        </w:trPr>
        <w:tc>
          <w:tcPr>
            <w:tcW w:w="60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84734" w:rsidTr="00784734">
        <w:trPr>
          <w:jc w:val="center"/>
        </w:trPr>
        <w:tc>
          <w:tcPr>
            <w:tcW w:w="60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84734" w:rsidRDefault="0078473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TELA SOLDADA ARAME GALVANIZADO, ESP. MÍNIMA 2,0MM, MALHA 15 X 15 CM, ALTURA MÍNIMA 1,40M</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784734" w:rsidTr="0078473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84734" w:rsidRDefault="00784734">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784734" w:rsidRDefault="00784734">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3.000,00 </w:t>
            </w:r>
          </w:p>
        </w:tc>
      </w:tr>
    </w:tbl>
    <w:p w:rsidR="00784734" w:rsidRDefault="00784734" w:rsidP="00784734"/>
    <w:p w:rsidR="0064566F" w:rsidRPr="0024324E" w:rsidRDefault="00784734" w:rsidP="00784734">
      <w:pPr>
        <w:overflowPunct w:val="0"/>
        <w:autoSpaceDE w:val="0"/>
        <w:autoSpaceDN w:val="0"/>
        <w:adjustRightInd w:val="0"/>
        <w:jc w:val="both"/>
        <w:rPr>
          <w:rFonts w:ascii="Bookman Old Style" w:hAnsi="Bookman Old Style"/>
          <w:b/>
          <w:sz w:val="24"/>
          <w:szCs w:val="24"/>
        </w:rPr>
      </w:pPr>
      <w:r>
        <w:rPr>
          <w:rFonts w:ascii="Bookman Old Style" w:hAnsi="Bookman Old Style" w:cs="MoolBoran"/>
        </w:rPr>
        <w:fldChar w:fldCharType="end"/>
      </w:r>
    </w:p>
    <w:p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784734" w:rsidRPr="00784734" w:rsidRDefault="00784734" w:rsidP="00642CA9">
      <w:pPr>
        <w:pStyle w:val="NormalWeb"/>
        <w:jc w:val="both"/>
        <w:rPr>
          <w:rFonts w:ascii="Bookman Old Style" w:hAnsi="Bookman Old Style" w:cs="Arial"/>
        </w:rPr>
      </w:pPr>
      <w:r w:rsidRPr="00784734">
        <w:rPr>
          <w:rFonts w:ascii="Bookman Old Style" w:hAnsi="Bookman Old Style" w:cs="Arial"/>
        </w:rPr>
        <w:t xml:space="preserve">A aquisição se faz necessária para suprir as demandas dos Cemitério Municipal que é de propriedade do Municipio, tendo em vista que se aproxima o dia de finados, haja vist a precariedade do material que la está, para cercar toda a área bem como às restaurações das cercas já existentes que se encontram em péssimo estado de conservação deixando um aspecto pouco atraente as pessoas que vem visitar seus ente queridos. Nas divisas existem locais sem cerca e outros conforme mencionado, necessitando de reparos, devido também estar suscetível à presença de animais de propriedades vizinhas. </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784734">
        <w:rPr>
          <w:rFonts w:ascii="Bookman Old Style" w:hAnsi="Bookman Old Style"/>
          <w:sz w:val="24"/>
          <w:szCs w:val="24"/>
        </w:rPr>
        <w:t>Ademir Segueto</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784734">
        <w:rPr>
          <w:rFonts w:ascii="Bookman Old Style" w:hAnsi="Bookman Old Style" w:cs="Arial"/>
          <w:sz w:val="24"/>
          <w:szCs w:val="24"/>
        </w:rPr>
        <w:t>14 de otubro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DE0DDC"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84734" w:rsidRDefault="0078473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84734" w:rsidRDefault="0078473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784734">
        <w:rPr>
          <w:rFonts w:ascii="Bookman Old Style" w:hAnsi="Bookman Old Style"/>
          <w:sz w:val="24"/>
          <w:szCs w:val="24"/>
        </w:rPr>
        <w:t>22</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78473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784734">
        <w:rPr>
          <w:rFonts w:ascii="Bookman Old Style" w:hAnsi="Bookman Old Style"/>
          <w:sz w:val="24"/>
          <w:szCs w:val="24"/>
        </w:rPr>
        <w:t>22</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78473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784734">
        <w:rPr>
          <w:rFonts w:ascii="Bookman Old Style" w:hAnsi="Bookman Old Style"/>
          <w:sz w:val="24"/>
          <w:szCs w:val="24"/>
        </w:rPr>
        <w:t>22</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784734">
        <w:rPr>
          <w:rFonts w:ascii="Bookman Old Style" w:hAnsi="Bookman Old Style"/>
          <w:sz w:val="24"/>
          <w:szCs w:val="24"/>
        </w:rPr>
        <w:t>78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784734">
        <w:rPr>
          <w:rFonts w:ascii="Bookman Old Style" w:hAnsi="Bookman Old Style"/>
          <w:sz w:val="24"/>
          <w:szCs w:val="24"/>
        </w:rPr>
        <w:t>22</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784734">
        <w:rPr>
          <w:rFonts w:ascii="Bookman Old Style" w:hAnsi="Bookman Old Style"/>
          <w:sz w:val="24"/>
          <w:szCs w:val="24"/>
        </w:rPr>
        <w:t>78</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784734">
        <w:rPr>
          <w:rFonts w:ascii="Bookman Old Style" w:hAnsi="Bookman Old Style"/>
          <w:sz w:val="24"/>
          <w:szCs w:val="24"/>
        </w:rPr>
        <w:t>TÓRIO Nº. 122</w:t>
      </w:r>
      <w:r w:rsidR="00A2393D">
        <w:rPr>
          <w:rFonts w:ascii="Bookman Old Style" w:hAnsi="Bookman Old Style"/>
          <w:sz w:val="24"/>
          <w:szCs w:val="24"/>
        </w:rPr>
        <w:t xml:space="preserve">/2019 PREGÃO PRESENCIAL </w:t>
      </w:r>
      <w:r w:rsidR="00784734">
        <w:rPr>
          <w:rFonts w:ascii="Bookman Old Style" w:hAnsi="Bookman Old Style"/>
          <w:sz w:val="24"/>
          <w:szCs w:val="24"/>
        </w:rPr>
        <w:t>78</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784734" w:rsidRPr="00784734">
        <w:rPr>
          <w:rFonts w:ascii="Bookman Old Style" w:hAnsi="Bookman Old Style"/>
          <w:b/>
          <w:bCs/>
          <w:sz w:val="24"/>
          <w:szCs w:val="24"/>
        </w:rPr>
        <w:t>A PRESENTE LICITAÇÃO VISA EVENTUAL E FUTURA AQUISIÇÃO DE TELA SOLDADA EM ARAME GALVANIZADO, PARA ATENDIMENTO DA SECRETARIA MUNICIPAL DE INFRA-ESTRUTURA, PELO SISTEMA DE REGISTRO DE PREÇOS, VÁLIDO POR 01 (UM) ANO</w:t>
      </w:r>
      <w:r w:rsidR="00220EDE" w:rsidRPr="009D4F20">
        <w:rPr>
          <w:rFonts w:ascii="Bookman Old Style" w:hAnsi="Bookman Old Style"/>
          <w:b/>
          <w:bCs/>
          <w:sz w:val="24"/>
          <w:szCs w:val="24"/>
        </w:rPr>
        <w:t>, CONFORME ESPECIFICAÇÕES NO EDITAL E SEUS ANEXOS</w:t>
      </w:r>
      <w:r w:rsidR="00784734">
        <w:rPr>
          <w:rFonts w:ascii="Bookman Old Style" w:hAnsi="Bookman Old Style"/>
          <w:b/>
          <w:bCs/>
          <w:sz w:val="24"/>
          <w:szCs w:val="24"/>
        </w:rPr>
        <w:t>:</w:t>
      </w:r>
    </w:p>
    <w:p w:rsidR="00A2393D" w:rsidRDefault="00A2393D"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784734" w:rsidRDefault="00B118A4" w:rsidP="00784734">
      <w:pPr>
        <w:spacing w:line="276" w:lineRule="auto"/>
        <w:jc w:val="both"/>
        <w:rPr>
          <w:rFonts w:ascii="Bookman Old Style" w:hAnsi="Bookman Old Style" w:cs="MoolBoran"/>
          <w:sz w:val="24"/>
          <w:szCs w:val="24"/>
        </w:rPr>
      </w:pPr>
      <w:r w:rsidRPr="00B118A4">
        <w:rPr>
          <w:rFonts w:ascii="Bookman Old Style" w:hAnsi="Bookman Old Style" w:cs="MoolBoran"/>
          <w:sz w:val="24"/>
          <w:szCs w:val="24"/>
        </w:rPr>
        <w:lastRenderedPageBreak/>
        <w:t xml:space="preserve">  </w:t>
      </w:r>
    </w:p>
    <w:p w:rsidR="00784734" w:rsidRDefault="00784734" w:rsidP="0078473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3"/>
        <w:gridCol w:w="730"/>
        <w:gridCol w:w="3186"/>
        <w:gridCol w:w="1260"/>
        <w:gridCol w:w="1052"/>
      </w:tblGrid>
      <w:tr w:rsidR="00784734" w:rsidTr="00784734">
        <w:trPr>
          <w:jc w:val="center"/>
        </w:trPr>
        <w:tc>
          <w:tcPr>
            <w:tcW w:w="60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84734" w:rsidTr="00784734">
        <w:trPr>
          <w:jc w:val="center"/>
        </w:trPr>
        <w:tc>
          <w:tcPr>
            <w:tcW w:w="60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TELA SOLDADA ARAME GALVANIZADO, ESP. MÍNIMA 2,0MM, MALHA 15 X 15 CM, ALTURA MÍNIMA 1,40M</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line="276" w:lineRule="auto"/>
              <w:jc w:val="right"/>
              <w:rPr>
                <w:rFonts w:ascii="Arial" w:hAnsi="Arial" w:cs="Arial"/>
                <w:sz w:val="15"/>
                <w:szCs w:val="15"/>
                <w:lang w:eastAsia="en-US"/>
              </w:rPr>
            </w:pPr>
            <w:r>
              <w:rPr>
                <w:rFonts w:ascii="Arial" w:hAnsi="Arial" w:cs="Arial"/>
                <w:sz w:val="15"/>
                <w:szCs w:val="15"/>
                <w:lang w:eastAsia="en-US"/>
              </w:rPr>
              <w:t>3000,00</w:t>
            </w:r>
          </w:p>
        </w:tc>
      </w:tr>
      <w:tr w:rsidR="00784734" w:rsidTr="0078473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84734" w:rsidRDefault="00784734" w:rsidP="00784734">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784734" w:rsidRDefault="00784734" w:rsidP="00784734">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3.000,00 </w:t>
            </w:r>
          </w:p>
        </w:tc>
      </w:tr>
    </w:tbl>
    <w:p w:rsidR="00784734" w:rsidRDefault="00784734" w:rsidP="00784734"/>
    <w:p w:rsidR="00B118A4" w:rsidRDefault="00784734" w:rsidP="00784734">
      <w:pPr>
        <w:spacing w:line="276" w:lineRule="auto"/>
        <w:jc w:val="center"/>
        <w:rPr>
          <w:rFonts w:ascii="Bookman Old Style" w:hAnsi="Bookman Old Style"/>
          <w:b/>
          <w:bCs/>
          <w:sz w:val="24"/>
          <w:szCs w:val="24"/>
        </w:rPr>
      </w:pPr>
      <w:r>
        <w:rPr>
          <w:rFonts w:ascii="Bookman Old Style" w:hAnsi="Bookman Old Style" w:cs="MoolBoran"/>
        </w:rPr>
        <w:fldChar w:fldCharType="end"/>
      </w:r>
    </w:p>
    <w:p w:rsidR="00172351" w:rsidRDefault="00172351" w:rsidP="00220EDE">
      <w:pPr>
        <w:overflowPunct w:val="0"/>
        <w:autoSpaceDE w:val="0"/>
        <w:autoSpaceDN w:val="0"/>
        <w:adjustRightInd w:val="0"/>
        <w:jc w:val="both"/>
        <w:rPr>
          <w:rFonts w:ascii="Bookman Old Style" w:hAnsi="Bookman Old Style"/>
          <w:b/>
          <w:bCs/>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784734">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784734">
        <w:rPr>
          <w:rFonts w:ascii="Bookman Old Style" w:hAnsi="Bookman Old Style"/>
          <w:sz w:val="24"/>
          <w:szCs w:val="24"/>
        </w:rPr>
        <w:t>78</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79" w:rsidRDefault="00503379" w:rsidP="00136074">
      <w:r>
        <w:separator/>
      </w:r>
    </w:p>
  </w:endnote>
  <w:endnote w:type="continuationSeparator" w:id="0">
    <w:p w:rsidR="00503379" w:rsidRDefault="00503379"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34" w:rsidRDefault="0078473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84734" w:rsidRDefault="0078473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784734" w:rsidRDefault="0078473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D13BA">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13BA">
              <w:rPr>
                <w:b/>
                <w:bCs/>
                <w:noProof/>
              </w:rPr>
              <w:t>45</w:t>
            </w:r>
            <w:r>
              <w:rPr>
                <w:b/>
                <w:bCs/>
                <w:sz w:val="24"/>
                <w:szCs w:val="24"/>
              </w:rPr>
              <w:fldChar w:fldCharType="end"/>
            </w:r>
          </w:p>
        </w:sdtContent>
      </w:sdt>
    </w:sdtContent>
  </w:sdt>
  <w:p w:rsidR="00784734" w:rsidRPr="00136074" w:rsidRDefault="0078473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79" w:rsidRDefault="00503379" w:rsidP="00136074">
      <w:r>
        <w:separator/>
      </w:r>
    </w:p>
  </w:footnote>
  <w:footnote w:type="continuationSeparator" w:id="0">
    <w:p w:rsidR="00503379" w:rsidRDefault="00503379"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D1DA4"/>
    <w:rsid w:val="000E1461"/>
    <w:rsid w:val="000E4239"/>
    <w:rsid w:val="00101156"/>
    <w:rsid w:val="001016AC"/>
    <w:rsid w:val="00106453"/>
    <w:rsid w:val="00112E76"/>
    <w:rsid w:val="001218B1"/>
    <w:rsid w:val="00132DD9"/>
    <w:rsid w:val="00136074"/>
    <w:rsid w:val="00143A6F"/>
    <w:rsid w:val="00166D6C"/>
    <w:rsid w:val="00172351"/>
    <w:rsid w:val="0018589E"/>
    <w:rsid w:val="0018735B"/>
    <w:rsid w:val="001A37E6"/>
    <w:rsid w:val="001A4939"/>
    <w:rsid w:val="001B498B"/>
    <w:rsid w:val="001E6CB0"/>
    <w:rsid w:val="001F2A42"/>
    <w:rsid w:val="001F4BB3"/>
    <w:rsid w:val="00220EDE"/>
    <w:rsid w:val="0024324E"/>
    <w:rsid w:val="002644AA"/>
    <w:rsid w:val="002C2777"/>
    <w:rsid w:val="002E4E37"/>
    <w:rsid w:val="002E6F50"/>
    <w:rsid w:val="00310014"/>
    <w:rsid w:val="00324EBE"/>
    <w:rsid w:val="00330501"/>
    <w:rsid w:val="00342375"/>
    <w:rsid w:val="003923E4"/>
    <w:rsid w:val="00394EBE"/>
    <w:rsid w:val="003A2DF4"/>
    <w:rsid w:val="003A7CAB"/>
    <w:rsid w:val="003C41F5"/>
    <w:rsid w:val="003C4722"/>
    <w:rsid w:val="00410DB8"/>
    <w:rsid w:val="004450CA"/>
    <w:rsid w:val="0045249F"/>
    <w:rsid w:val="00484CEF"/>
    <w:rsid w:val="00486E55"/>
    <w:rsid w:val="004A4F9E"/>
    <w:rsid w:val="004D5B69"/>
    <w:rsid w:val="004F0431"/>
    <w:rsid w:val="00503379"/>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4734"/>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84041"/>
    <w:rsid w:val="009C4CEE"/>
    <w:rsid w:val="009C52E6"/>
    <w:rsid w:val="009D4F20"/>
    <w:rsid w:val="009D5FED"/>
    <w:rsid w:val="009F0BE4"/>
    <w:rsid w:val="009F5080"/>
    <w:rsid w:val="00A055CF"/>
    <w:rsid w:val="00A2393D"/>
    <w:rsid w:val="00A91BAC"/>
    <w:rsid w:val="00AA38E1"/>
    <w:rsid w:val="00AF46A4"/>
    <w:rsid w:val="00B024CD"/>
    <w:rsid w:val="00B118A4"/>
    <w:rsid w:val="00B2658D"/>
    <w:rsid w:val="00B3405C"/>
    <w:rsid w:val="00B513B5"/>
    <w:rsid w:val="00B6703D"/>
    <w:rsid w:val="00BC1508"/>
    <w:rsid w:val="00BD3E5B"/>
    <w:rsid w:val="00C15F6A"/>
    <w:rsid w:val="00C206F8"/>
    <w:rsid w:val="00C548A6"/>
    <w:rsid w:val="00C54D0E"/>
    <w:rsid w:val="00C73315"/>
    <w:rsid w:val="00C77485"/>
    <w:rsid w:val="00CA1C89"/>
    <w:rsid w:val="00CA293F"/>
    <w:rsid w:val="00CA396A"/>
    <w:rsid w:val="00CB0079"/>
    <w:rsid w:val="00CB1C4B"/>
    <w:rsid w:val="00CC0045"/>
    <w:rsid w:val="00CD13BA"/>
    <w:rsid w:val="00CF6092"/>
    <w:rsid w:val="00D25D88"/>
    <w:rsid w:val="00D7692C"/>
    <w:rsid w:val="00D76E34"/>
    <w:rsid w:val="00D77463"/>
    <w:rsid w:val="00DA2524"/>
    <w:rsid w:val="00DA352E"/>
    <w:rsid w:val="00DA5001"/>
    <w:rsid w:val="00DA5E98"/>
    <w:rsid w:val="00DB774C"/>
    <w:rsid w:val="00DC4059"/>
    <w:rsid w:val="00DE0DDC"/>
    <w:rsid w:val="00DE2B52"/>
    <w:rsid w:val="00DE2DF0"/>
    <w:rsid w:val="00DF5EC7"/>
    <w:rsid w:val="00E02A38"/>
    <w:rsid w:val="00E46A13"/>
    <w:rsid w:val="00E51568"/>
    <w:rsid w:val="00E53B7F"/>
    <w:rsid w:val="00E5511F"/>
    <w:rsid w:val="00E6304E"/>
    <w:rsid w:val="00E8027F"/>
    <w:rsid w:val="00E8246F"/>
    <w:rsid w:val="00EA4DCE"/>
    <w:rsid w:val="00EA7F9C"/>
    <w:rsid w:val="00EB0241"/>
    <w:rsid w:val="00ED4814"/>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561139069">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14759</Words>
  <Characters>79700</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2019-10-15T21:33:00Z</cp:lastPrinted>
  <dcterms:created xsi:type="dcterms:W3CDTF">2019-10-14T18:14:00Z</dcterms:created>
  <dcterms:modified xsi:type="dcterms:W3CDTF">2019-10-15T21:33:00Z</dcterms:modified>
</cp:coreProperties>
</file>