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w:t>
      </w:r>
      <w:r w:rsidR="00C602F8">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602F8">
        <w:rPr>
          <w:rFonts w:ascii="Bookman Old Style" w:hAnsi="Bookman Old Style"/>
          <w:sz w:val="24"/>
          <w:szCs w:val="24"/>
        </w:rPr>
        <w:t>50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E00502">
        <w:rPr>
          <w:rFonts w:ascii="Bookman Old Style" w:hAnsi="Bookman Old Style"/>
          <w:sz w:val="24"/>
          <w:szCs w:val="24"/>
        </w:rPr>
        <w:t>80</w:t>
      </w:r>
      <w:r w:rsidRPr="000F5F8A">
        <w:rPr>
          <w:rFonts w:ascii="Bookman Old Style" w:hAnsi="Bookman Old Style"/>
          <w:sz w:val="24"/>
          <w:szCs w:val="24"/>
        </w:rPr>
        <w:t xml:space="preserve">/2019 e a modalidade pregão presencial nº </w:t>
      </w:r>
      <w:r w:rsidR="00E00502">
        <w:rPr>
          <w:rFonts w:ascii="Bookman Old Style" w:hAnsi="Bookman Old Style"/>
          <w:sz w:val="24"/>
          <w:szCs w:val="24"/>
        </w:rPr>
        <w:t>48</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C602F8">
        <w:rPr>
          <w:rFonts w:ascii="Bookman Old Style" w:hAnsi="Bookman Old Style"/>
          <w:b/>
          <w:sz w:val="24"/>
          <w:szCs w:val="24"/>
        </w:rPr>
        <w:t>13</w:t>
      </w:r>
      <w:r w:rsidR="0049104A">
        <w:rPr>
          <w:rFonts w:ascii="Bookman Old Style" w:hAnsi="Bookman Old Style"/>
          <w:b/>
          <w:sz w:val="24"/>
          <w:szCs w:val="24"/>
        </w:rPr>
        <w:t>:</w:t>
      </w:r>
      <w:r w:rsidR="00C602F8">
        <w:rPr>
          <w:rFonts w:ascii="Bookman Old Style" w:hAnsi="Bookman Old Style"/>
          <w:b/>
          <w:sz w:val="24"/>
          <w:szCs w:val="24"/>
        </w:rPr>
        <w:t>3</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E00502">
          <w:rPr>
            <w:rFonts w:ascii="Bookman Old Style" w:hAnsi="Bookman Old Style" w:cs="Arial"/>
            <w:b/>
            <w:sz w:val="24"/>
            <w:szCs w:val="24"/>
          </w:rPr>
          <w:t>1</w:t>
        </w:r>
        <w:r w:rsidR="00572D7B">
          <w:rPr>
            <w:rFonts w:ascii="Bookman Old Style" w:hAnsi="Bookman Old Style" w:cs="Arial"/>
            <w:b/>
            <w:sz w:val="24"/>
            <w:szCs w:val="24"/>
          </w:rPr>
          <w:t>5</w:t>
        </w:r>
        <w:r w:rsidR="00B24736">
          <w:rPr>
            <w:rFonts w:ascii="Bookman Old Style" w:hAnsi="Bookman Old Style" w:cs="Arial"/>
            <w:b/>
            <w:sz w:val="24"/>
            <w:szCs w:val="24"/>
          </w:rPr>
          <w:t>/0</w:t>
        </w:r>
        <w:r w:rsidR="00E00502">
          <w:rPr>
            <w:rFonts w:ascii="Bookman Old Style" w:hAnsi="Bookman Old Style" w:cs="Arial"/>
            <w:b/>
            <w:sz w:val="24"/>
            <w:szCs w:val="24"/>
          </w:rPr>
          <w:t>7</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C602F8">
        <w:rPr>
          <w:rFonts w:ascii="Bookman Old Style" w:hAnsi="Bookman Old Style"/>
          <w:b/>
          <w:sz w:val="24"/>
          <w:szCs w:val="24"/>
        </w:rPr>
        <w:t>13</w:t>
      </w:r>
      <w:r w:rsidR="0049104A">
        <w:rPr>
          <w:rFonts w:ascii="Bookman Old Style" w:hAnsi="Bookman Old Style"/>
          <w:b/>
          <w:sz w:val="24"/>
          <w:szCs w:val="24"/>
        </w:rPr>
        <w:t>:</w:t>
      </w:r>
      <w:r w:rsidR="00C602F8">
        <w:rPr>
          <w:rFonts w:ascii="Bookman Old Style" w:hAnsi="Bookman Old Style"/>
          <w:b/>
          <w:sz w:val="24"/>
          <w:szCs w:val="24"/>
        </w:rPr>
        <w:t>3</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C602F8" w:rsidRDefault="00136074" w:rsidP="00DA3CE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C602F8" w:rsidRPr="00C602F8">
        <w:rPr>
          <w:rFonts w:ascii="Bookman Old Style" w:hAnsi="Bookman Old Style"/>
          <w:b/>
          <w:sz w:val="24"/>
          <w:szCs w:val="24"/>
        </w:rPr>
        <w:t>A PRESENTE LICITAÇÃO VISA EVENTUAL E FUTURA AQUISIÇÃO DE CONTÊINER PARA COLETA DE LIXO, CONFORME CONDIÇÕES E DESCRIÇÕES ESTABELECIDAS NO EDITAL E SEUS ANEXOS, SOB SISTEMA DE REGISTRO DE PREÇOS, COM VALIDADE DE 12 (DOZE) MESES</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w:t>
      </w:r>
      <w:r w:rsidRPr="000F5F8A">
        <w:rPr>
          <w:rFonts w:ascii="Bookman Old Style" w:hAnsi="Bookman Old Style"/>
          <w:bCs/>
          <w:sz w:val="24"/>
          <w:szCs w:val="24"/>
        </w:rPr>
        <w:lastRenderedPageBreak/>
        <w:t>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lastRenderedPageBreak/>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E00502">
        <w:rPr>
          <w:rFonts w:ascii="Bookman Old Style" w:hAnsi="Bookman Old Style"/>
          <w:sz w:val="24"/>
          <w:szCs w:val="24"/>
        </w:rPr>
        <w:t>8</w:t>
      </w:r>
      <w:r w:rsidR="00C602F8">
        <w:rPr>
          <w:rFonts w:ascii="Bookman Old Style" w:hAnsi="Bookman Old Style"/>
          <w:sz w:val="24"/>
          <w:szCs w:val="24"/>
        </w:rPr>
        <w:t>2</w:t>
      </w:r>
      <w:r w:rsidRPr="000F5F8A">
        <w:rPr>
          <w:rFonts w:ascii="Bookman Old Style" w:hAnsi="Bookman Old Style"/>
          <w:sz w:val="24"/>
          <w:szCs w:val="24"/>
        </w:rPr>
        <w:t xml:space="preserve">/2019 Modalidade Pregão Presencial nº </w:t>
      </w:r>
      <w:fldSimple w:instr=" DOCVARIABLE &quot;NumLicitacao&quot; \* MERGEFORMAT ">
        <w:r w:rsidR="00C602F8">
          <w:rPr>
            <w:rFonts w:ascii="Bookman Old Style" w:hAnsi="Bookman Old Style"/>
            <w:sz w:val="24"/>
            <w:szCs w:val="24"/>
          </w:rPr>
          <w:t>50</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E00502">
        <w:rPr>
          <w:rFonts w:ascii="Bookman Old Style" w:hAnsi="Bookman Old Style"/>
          <w:sz w:val="24"/>
          <w:szCs w:val="24"/>
        </w:rPr>
        <w:t>8</w:t>
      </w:r>
      <w:r w:rsidR="00C602F8">
        <w:rPr>
          <w:rFonts w:ascii="Bookman Old Style" w:hAnsi="Bookman Old Style"/>
          <w:sz w:val="24"/>
          <w:szCs w:val="24"/>
        </w:rPr>
        <w:t>2</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C602F8">
        <w:rPr>
          <w:rFonts w:ascii="Bookman Old Style" w:hAnsi="Bookman Old Style"/>
          <w:sz w:val="24"/>
          <w:szCs w:val="24"/>
        </w:rPr>
        <w:t>50</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w:t>
      </w:r>
      <w:r w:rsidRPr="000F5F8A">
        <w:rPr>
          <w:rFonts w:ascii="Bookman Old Style" w:hAnsi="Bookman Old Style"/>
          <w:bCs/>
          <w:sz w:val="24"/>
          <w:szCs w:val="24"/>
        </w:rPr>
        <w:lastRenderedPageBreak/>
        <w:t>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w:t>
      </w:r>
      <w:r w:rsidRPr="000F5F8A">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0F5F8A">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FA0626">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0F5F8A">
        <w:rPr>
          <w:rFonts w:ascii="Bookman Old Style" w:hAnsi="Bookman Old Style"/>
          <w:sz w:val="24"/>
          <w:szCs w:val="24"/>
        </w:rPr>
        <w:lastRenderedPageBreak/>
        <w:t>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C602F8">
        <w:rPr>
          <w:rFonts w:ascii="Bookman Old Style" w:hAnsi="Bookman Old Style"/>
          <w:sz w:val="24"/>
          <w:szCs w:val="24"/>
        </w:rPr>
        <w:t>02</w:t>
      </w:r>
      <w:r w:rsidR="00AD5C54">
        <w:rPr>
          <w:rFonts w:ascii="Bookman Old Style" w:hAnsi="Bookman Old Style"/>
          <w:sz w:val="24"/>
          <w:szCs w:val="24"/>
        </w:rPr>
        <w:t xml:space="preserve"> de </w:t>
      </w:r>
      <w:r w:rsidR="00E00502">
        <w:rPr>
          <w:rFonts w:ascii="Bookman Old Style" w:hAnsi="Bookman Old Style"/>
          <w:sz w:val="24"/>
          <w:szCs w:val="24"/>
        </w:rPr>
        <w:t>julho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FA0626" w:rsidRDefault="00FA0626" w:rsidP="00FA0626">
      <w:pPr>
        <w:spacing w:after="120"/>
        <w:rPr>
          <w:rFonts w:ascii="Bookman Old Style" w:hAnsi="Bookman Old Style"/>
          <w:b/>
          <w:sz w:val="24"/>
          <w:szCs w:val="24"/>
        </w:rPr>
      </w:pPr>
    </w:p>
    <w:p w:rsidR="00136074" w:rsidRPr="000F5F8A" w:rsidRDefault="00136074" w:rsidP="00FA0626">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w:t>
      </w:r>
      <w:r w:rsidR="00C602F8">
        <w:rPr>
          <w:rFonts w:ascii="Bookman Old Style" w:hAnsi="Bookman Old Style"/>
          <w:sz w:val="24"/>
          <w:szCs w:val="24"/>
        </w:rPr>
        <w:t>2</w:t>
      </w:r>
      <w:r w:rsidR="00025C11" w:rsidRPr="000F5F8A">
        <w:rPr>
          <w:rFonts w:ascii="Bookman Old Style" w:hAnsi="Bookman Old Style"/>
          <w:sz w:val="24"/>
          <w:szCs w:val="24"/>
        </w:rPr>
        <w:t>/2019</w:t>
      </w:r>
    </w:p>
    <w:p w:rsidR="003F0B92" w:rsidRPr="00D02317" w:rsidRDefault="00025C11" w:rsidP="00D02317">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602F8">
        <w:rPr>
          <w:rFonts w:ascii="Bookman Old Style" w:hAnsi="Bookman Old Style"/>
          <w:sz w:val="24"/>
          <w:szCs w:val="24"/>
        </w:rPr>
        <w:t>50</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E00502">
      <w:pPr>
        <w:spacing w:after="120"/>
        <w:rPr>
          <w:rFonts w:ascii="Bookman Old Style" w:hAnsi="Bookman Old Style"/>
          <w:b/>
          <w:sz w:val="24"/>
          <w:szCs w:val="24"/>
        </w:rPr>
      </w:pP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C602F8" w:rsidRPr="00C602F8">
        <w:rPr>
          <w:rFonts w:ascii="Bookman Old Style" w:hAnsi="Bookman Old Style"/>
          <w:b/>
          <w:bCs/>
          <w:sz w:val="24"/>
          <w:szCs w:val="24"/>
        </w:rPr>
        <w:t>A PRESENTE LICITAÇÃO VISA EVENTUAL E FUTURA AQUISIÇÃO DE CONTÊINER PARA COLETA DE LIXO, CONFORME CONDIÇÕES E DESCRIÇÕES ESTABELECIDAS NO EDITAL E SEUS ANEXOS, SOB SISTEMA DE REGISTRO DE PREÇOS, COM VALIDADE DE 12 (DOZE) MESES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E82B28" w:rsidRDefault="00E82B28" w:rsidP="00E82B28">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4"/>
        <w:gridCol w:w="680"/>
        <w:gridCol w:w="719"/>
        <w:gridCol w:w="3247"/>
        <w:gridCol w:w="1214"/>
        <w:gridCol w:w="1081"/>
      </w:tblGrid>
      <w:tr w:rsidR="00E82B28" w:rsidTr="00E82B28">
        <w:trPr>
          <w:jc w:val="center"/>
        </w:trPr>
        <w:tc>
          <w:tcPr>
            <w:tcW w:w="60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E82B28" w:rsidTr="00E82B28">
        <w:trPr>
          <w:jc w:val="center"/>
        </w:trPr>
        <w:tc>
          <w:tcPr>
            <w:tcW w:w="60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82B28" w:rsidRDefault="00E82B28" w:rsidP="00FA062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CONTÊINER CAPACIDADE MÍNIMA DE 1000 (UM MIL) LITROS PARA COLETA DE LIXO, COM TAMPA, EM CONFORMIDADE COM A NORMA NBR 15911-3, FABRICADO EM POLIETILENO DE ALTA DENSIDADE INJETADO, RESISTENTE A AÇÃO DE RAIOS ULTRAVIOLETA, COM 04 (QUATRO) RODÍZIOS GIRATÓRIOS COM CAPACIDADE PARA RESISTIR A CARGA ESPECIFICADA E OS IMPACTOS DECORRENTES DA OPERAÇÃO (DESLOCAMENTO, ESTABILIDADE E ROLAGEM), SENDO QUE PELOS MENOS DUAS RODAS COM FREIOS DE ESTACIONAMENTO. O CONTÊINER DEVERÁ DISPOR DOS DISPOSITIVOS QUE POSSIBILITEM A OPERAÇÃO E ELEVAÇÃO (BASCULANTE) DE FORMA EFICIENTE E SEGURA. DEVE CONTER TAMBÉM MUNHÃO, PAR DE EIXOS SITUADOS NAS LATERAIS DO CONTENTOR, RECEPTOR FRONTAL (RANHURAS NA PARTE FRONTAL DO CONTENTOR PARA ENCAIXE DOS PENTES. DIMENSÕES MÍNIMAS DO CONTÊINER: 1325MM DE ALTURA, 1370MM DE LARGURA, 1077MM DE PROFUNDIDADE. COM DISPOSITIVO DE DRENAGEM. COM ESPAÇO PUBLICITÁRIO NA PARTE FRONTAL CONFORME PADRÃO A SER DEFINIDO PELO MUNICÍPIO. CONTÊINER NAS CORES </w:t>
            </w:r>
            <w:r w:rsidR="00FA0626">
              <w:rPr>
                <w:rFonts w:ascii="Arial" w:hAnsi="Arial" w:cs="Arial"/>
                <w:sz w:val="16"/>
                <w:lang w:eastAsia="en-US"/>
              </w:rPr>
              <w:t>AZUL</w:t>
            </w:r>
            <w:r>
              <w:rPr>
                <w:rFonts w:ascii="Arial" w:hAnsi="Arial" w:cs="Arial"/>
                <w:sz w:val="16"/>
                <w:lang w:eastAsia="en-US"/>
              </w:rPr>
              <w:t xml:space="preserve"> (LIXO ORGÃNICO) OU AMARELO (LIXO RECICLÁVEL).</w:t>
            </w:r>
          </w:p>
        </w:tc>
        <w:tc>
          <w:tcPr>
            <w:tcW w:w="144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right"/>
              <w:rPr>
                <w:rFonts w:ascii="Arial" w:hAnsi="Arial" w:cs="Arial"/>
                <w:sz w:val="15"/>
                <w:szCs w:val="15"/>
                <w:lang w:eastAsia="en-US"/>
              </w:rPr>
            </w:pPr>
            <w:r>
              <w:rPr>
                <w:rFonts w:ascii="Arial" w:hAnsi="Arial" w:cs="Arial"/>
                <w:sz w:val="15"/>
                <w:szCs w:val="15"/>
                <w:lang w:eastAsia="en-US"/>
              </w:rPr>
              <w:t xml:space="preserve">1.726,00 </w:t>
            </w:r>
          </w:p>
        </w:tc>
        <w:tc>
          <w:tcPr>
            <w:tcW w:w="1440" w:type="dxa"/>
            <w:tcBorders>
              <w:top w:val="single" w:sz="4" w:space="0" w:color="auto"/>
              <w:left w:val="single" w:sz="4" w:space="0" w:color="auto"/>
              <w:bottom w:val="single" w:sz="4" w:space="0" w:color="auto"/>
              <w:right w:val="single" w:sz="4" w:space="0" w:color="auto"/>
            </w:tcBorders>
            <w:hideMark/>
          </w:tcPr>
          <w:p w:rsidR="00E82B28" w:rsidRDefault="00E82B28">
            <w:pPr>
              <w:spacing w:line="276" w:lineRule="auto"/>
              <w:jc w:val="right"/>
              <w:rPr>
                <w:rFonts w:ascii="Arial" w:hAnsi="Arial" w:cs="Arial"/>
                <w:sz w:val="15"/>
                <w:szCs w:val="15"/>
                <w:lang w:eastAsia="en-US"/>
              </w:rPr>
            </w:pPr>
            <w:r>
              <w:rPr>
                <w:rFonts w:ascii="Arial" w:hAnsi="Arial" w:cs="Arial"/>
                <w:sz w:val="15"/>
                <w:szCs w:val="15"/>
                <w:lang w:eastAsia="en-US"/>
              </w:rPr>
              <w:t>51780,00</w:t>
            </w:r>
          </w:p>
        </w:tc>
      </w:tr>
      <w:tr w:rsidR="00E82B28" w:rsidTr="00E82B2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82B28" w:rsidRDefault="00E82B28">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E82B28" w:rsidRDefault="00E82B28">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51.780,00 </w:t>
            </w:r>
          </w:p>
        </w:tc>
      </w:tr>
    </w:tbl>
    <w:p w:rsidR="00E82B28" w:rsidRDefault="00E82B28" w:rsidP="00E82B28"/>
    <w:p w:rsidR="0049104A" w:rsidRPr="003C79C5" w:rsidRDefault="00E82B28" w:rsidP="00E82B28">
      <w:pPr>
        <w:spacing w:line="276" w:lineRule="auto"/>
        <w:rPr>
          <w:rFonts w:ascii="Bookman Old Style" w:hAnsi="Bookman Old Style" w:cs="MoolBoran"/>
          <w:sz w:val="24"/>
          <w:szCs w:val="24"/>
        </w:rPr>
      </w:pPr>
      <w:r>
        <w:rPr>
          <w:rFonts w:ascii="Bookman Old Style" w:hAnsi="Bookman Old Style" w:cs="MoolBoran"/>
        </w:rPr>
        <w:fldChar w:fldCharType="end"/>
      </w:r>
    </w:p>
    <w:p w:rsidR="00FA0626" w:rsidRDefault="00FA0626" w:rsidP="0049104A">
      <w:pPr>
        <w:overflowPunct w:val="0"/>
        <w:autoSpaceDE w:val="0"/>
        <w:autoSpaceDN w:val="0"/>
        <w:adjustRightInd w:val="0"/>
        <w:spacing w:after="120"/>
        <w:jc w:val="both"/>
        <w:rPr>
          <w:rFonts w:ascii="Bookman Old Style" w:hAnsi="Bookman Old Style"/>
          <w:b/>
          <w:color w:val="000000" w:themeColor="text1"/>
          <w:sz w:val="24"/>
          <w:szCs w:val="24"/>
        </w:rPr>
      </w:pPr>
    </w:p>
    <w:p w:rsidR="00FA0626" w:rsidRDefault="0049104A" w:rsidP="00FA0626">
      <w:pPr>
        <w:overflowPunct w:val="0"/>
        <w:autoSpaceDE w:val="0"/>
        <w:autoSpaceDN w:val="0"/>
        <w:adjustRightInd w:val="0"/>
        <w:spacing w:after="120"/>
        <w:jc w:val="both"/>
        <w:rPr>
          <w:rFonts w:ascii="Bookman Old Style" w:hAnsi="Bookman Old Style"/>
          <w:b/>
          <w:color w:val="000000" w:themeColor="text1"/>
          <w:sz w:val="24"/>
          <w:szCs w:val="24"/>
        </w:rPr>
      </w:pPr>
      <w:r w:rsidRPr="005A7210">
        <w:rPr>
          <w:rFonts w:ascii="Bookman Old Style" w:hAnsi="Bookman Old Style"/>
          <w:b/>
          <w:color w:val="000000" w:themeColor="text1"/>
          <w:sz w:val="24"/>
          <w:szCs w:val="24"/>
        </w:rPr>
        <w:lastRenderedPageBreak/>
        <w:t>2. JUSTIFICATIVA</w:t>
      </w:r>
    </w:p>
    <w:p w:rsidR="00FA0626" w:rsidRPr="00FA0626" w:rsidRDefault="00C34E29" w:rsidP="00FA0626">
      <w:pPr>
        <w:overflowPunct w:val="0"/>
        <w:autoSpaceDE w:val="0"/>
        <w:autoSpaceDN w:val="0"/>
        <w:adjustRightInd w:val="0"/>
        <w:spacing w:after="120"/>
        <w:jc w:val="both"/>
        <w:rPr>
          <w:rFonts w:ascii="Bookman Old Style" w:hAnsi="Bookman Old Style"/>
          <w:bCs/>
          <w:color w:val="FF0000"/>
          <w:sz w:val="24"/>
          <w:szCs w:val="24"/>
        </w:rPr>
      </w:pPr>
      <w:r w:rsidRPr="00FA0626">
        <w:rPr>
          <w:rFonts w:ascii="Bookman Old Style" w:hAnsi="Bookman Old Style"/>
          <w:sz w:val="24"/>
          <w:szCs w:val="24"/>
        </w:rPr>
        <w:t xml:space="preserve">Os objetos a serem licitados são de necessidade para a manutenção da conservação da limpeza da cidade, e a separação do lixo para a coleta seletiva, iniciada em nosso município, e considerando que a quantidade de containers já existentes no município é insuficiente para atender a demanda de lixo produzido. </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sidR="00632354">
        <w:rPr>
          <w:rFonts w:ascii="Bookman Old Style" w:hAnsi="Bookman Old Style"/>
          <w:sz w:val="24"/>
          <w:szCs w:val="24"/>
        </w:rPr>
        <w:t>10</w:t>
      </w:r>
      <w:r w:rsidRPr="005A7210">
        <w:rPr>
          <w:rFonts w:ascii="Bookman Old Style" w:hAnsi="Bookman Old Style"/>
          <w:sz w:val="24"/>
          <w:szCs w:val="24"/>
        </w:rPr>
        <w:t xml:space="preserve"> (</w:t>
      </w:r>
      <w:r w:rsidR="003C79C5">
        <w:rPr>
          <w:rFonts w:ascii="Bookman Old Style" w:hAnsi="Bookman Old Style"/>
          <w:sz w:val="24"/>
          <w:szCs w:val="24"/>
        </w:rPr>
        <w:t>dez</w:t>
      </w:r>
      <w:r w:rsidRPr="005A7210">
        <w:rPr>
          <w:rFonts w:ascii="Bookman Old Style" w:hAnsi="Bookman Old Style"/>
          <w:sz w:val="24"/>
          <w:szCs w:val="24"/>
        </w:rPr>
        <w:t>) dias após a solicitação.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O município informará na Autorização de Fornecimento (AF) o local exato para a entrega,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F730D7">
        <w:rPr>
          <w:rFonts w:ascii="Bookman Old Style" w:hAnsi="Bookman Old Style"/>
          <w:sz w:val="24"/>
          <w:szCs w:val="24"/>
        </w:rPr>
        <w:t>Marcos Orso.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Pr="005A7210" w:rsidRDefault="0049104A" w:rsidP="0049104A">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080BA1">
        <w:rPr>
          <w:rFonts w:ascii="Bookman Old Style" w:hAnsi="Bookman Old Style" w:cs="Arial"/>
          <w:sz w:val="24"/>
          <w:szCs w:val="24"/>
        </w:rPr>
        <w:t>01 de julho</w:t>
      </w:r>
      <w:r w:rsidRPr="005A7210">
        <w:rPr>
          <w:rFonts w:ascii="Bookman Old Style" w:hAnsi="Bookman Old Style" w:cs="Arial"/>
          <w:sz w:val="24"/>
          <w:szCs w:val="24"/>
        </w:rPr>
        <w:t xml:space="preserve"> de 2019.</w:t>
      </w:r>
    </w:p>
    <w:p w:rsidR="0049104A" w:rsidRPr="005A7210" w:rsidRDefault="0049104A" w:rsidP="0049104A">
      <w:pPr>
        <w:spacing w:after="120"/>
        <w:jc w:val="both"/>
        <w:rPr>
          <w:rFonts w:ascii="Bookman Old Style" w:hAnsi="Bookman Old Style"/>
          <w:b/>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49104A" w:rsidRPr="005A7210" w:rsidRDefault="00072133"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C74BB3" w:rsidRDefault="00C74BB3" w:rsidP="009E6372">
      <w:pPr>
        <w:overflowPunct w:val="0"/>
        <w:autoSpaceDE w:val="0"/>
        <w:autoSpaceDN w:val="0"/>
        <w:adjustRightInd w:val="0"/>
        <w:spacing w:after="120"/>
        <w:ind w:right="-289"/>
        <w:textAlignment w:val="baseline"/>
        <w:rPr>
          <w:rFonts w:ascii="Bookman Old Style" w:hAnsi="Bookman Old Style"/>
          <w:b/>
          <w:sz w:val="24"/>
          <w:szCs w:val="24"/>
        </w:rPr>
      </w:pPr>
    </w:p>
    <w:p w:rsidR="00C74BB3" w:rsidRDefault="00C74BB3"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080BA1">
        <w:rPr>
          <w:rFonts w:ascii="Bookman Old Style" w:hAnsi="Bookman Old Style"/>
          <w:sz w:val="24"/>
          <w:szCs w:val="24"/>
        </w:rPr>
        <w:t>8</w:t>
      </w:r>
      <w:r w:rsidR="00FA0626">
        <w:rPr>
          <w:rFonts w:ascii="Bookman Old Style" w:hAnsi="Bookman Old Style"/>
          <w:sz w:val="24"/>
          <w:szCs w:val="24"/>
        </w:rPr>
        <w:t>2</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0626">
        <w:rPr>
          <w:rFonts w:ascii="Bookman Old Style" w:hAnsi="Bookman Old Style"/>
          <w:sz w:val="24"/>
          <w:szCs w:val="24"/>
        </w:rPr>
        <w:t>50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080BA1">
        <w:rPr>
          <w:rFonts w:ascii="Bookman Old Style" w:hAnsi="Bookman Old Style"/>
          <w:sz w:val="24"/>
          <w:szCs w:val="24"/>
        </w:rPr>
        <w:t>8</w:t>
      </w:r>
      <w:r w:rsidR="00FA0626">
        <w:rPr>
          <w:rFonts w:ascii="Bookman Old Style" w:hAnsi="Bookman Old Style"/>
          <w:sz w:val="24"/>
          <w:szCs w:val="24"/>
        </w:rPr>
        <w:t>2</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0626">
        <w:rPr>
          <w:rFonts w:ascii="Bookman Old Style" w:hAnsi="Bookman Old Style"/>
          <w:sz w:val="24"/>
          <w:szCs w:val="24"/>
        </w:rPr>
        <w:t>50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w:t>
      </w:r>
      <w:r w:rsidR="00FA0626">
        <w:rPr>
          <w:rFonts w:ascii="Bookman Old Style" w:hAnsi="Bookman Old Style"/>
          <w:sz w:val="24"/>
          <w:szCs w:val="24"/>
        </w:rPr>
        <w:t>2</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0626">
        <w:rPr>
          <w:rFonts w:ascii="Bookman Old Style" w:hAnsi="Bookman Old Style"/>
          <w:sz w:val="24"/>
          <w:szCs w:val="24"/>
        </w:rPr>
        <w:t>50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w:t>
      </w:r>
      <w:r w:rsidR="00FA0626">
        <w:rPr>
          <w:rFonts w:ascii="Bookman Old Style" w:hAnsi="Bookman Old Style"/>
          <w:sz w:val="24"/>
          <w:szCs w:val="24"/>
        </w:rPr>
        <w:t>2</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0626">
        <w:rPr>
          <w:rFonts w:ascii="Bookman Old Style" w:hAnsi="Bookman Old Style"/>
          <w:sz w:val="24"/>
          <w:szCs w:val="24"/>
        </w:rPr>
        <w:t>50</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080BA1">
        <w:rPr>
          <w:rFonts w:ascii="Bookman Old Style" w:hAnsi="Bookman Old Style"/>
          <w:sz w:val="24"/>
          <w:szCs w:val="24"/>
        </w:rPr>
        <w:t>8</w:t>
      </w:r>
      <w:r w:rsidR="00FA0626">
        <w:rPr>
          <w:rFonts w:ascii="Bookman Old Style" w:hAnsi="Bookman Old Style"/>
          <w:sz w:val="24"/>
          <w:szCs w:val="24"/>
        </w:rPr>
        <w:t>2</w:t>
      </w:r>
      <w:r w:rsidR="00C548A6" w:rsidRPr="000F5F8A">
        <w:rPr>
          <w:rFonts w:ascii="Bookman Old Style" w:hAnsi="Bookman Old Style"/>
          <w:sz w:val="24"/>
          <w:szCs w:val="24"/>
        </w:rPr>
        <w:t xml:space="preserve">/2019 PREGÃO PRESENCIAL </w:t>
      </w:r>
      <w:r w:rsidR="00FA0626">
        <w:rPr>
          <w:rFonts w:ascii="Bookman Old Style" w:hAnsi="Bookman Old Style"/>
          <w:sz w:val="24"/>
          <w:szCs w:val="24"/>
        </w:rPr>
        <w:t>50</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FA0626" w:rsidRPr="00C602F8">
        <w:rPr>
          <w:rFonts w:ascii="Bookman Old Style" w:hAnsi="Bookman Old Style"/>
          <w:b/>
          <w:sz w:val="24"/>
          <w:szCs w:val="24"/>
        </w:rPr>
        <w:t>A PRESENTE LICITAÇÃO VISA EVENTUAL E FUTURA AQUISIÇÃO DE CONTÊINER PARA COLETA DE LIXO, CONFORME CONDIÇÕES E DESCRIÇÕES ESTABELECIDAS NO EDITAL E SEUS ANEXOS, SOB SISTEMA DE REGISTRO DE PREÇOS, COM VALIDADE DE 12 (DOZE) MESES</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FA0626">
        <w:rPr>
          <w:rFonts w:ascii="Bookman Old Style" w:hAnsi="Bookman Old Style"/>
          <w:sz w:val="24"/>
          <w:szCs w:val="24"/>
        </w:rPr>
        <w:t>50</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 xml:space="preserve">Caso o objeto entregue apresente defeitos durante o prazo de garantia, a CONTRATADA deverá realizar a substituição, sem ônus </w:t>
      </w:r>
      <w:r w:rsidRPr="000F5F8A">
        <w:rPr>
          <w:rFonts w:ascii="Bookman Old Style" w:hAnsi="Bookman Old Style"/>
          <w:sz w:val="24"/>
          <w:szCs w:val="24"/>
        </w:rPr>
        <w:lastRenderedPageBreak/>
        <w:t>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0F5F8A">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0F5F8A">
        <w:rPr>
          <w:rFonts w:ascii="Bookman Old Style" w:hAnsi="Bookman Old Style"/>
          <w:sz w:val="24"/>
          <w:szCs w:val="24"/>
        </w:rPr>
        <w:lastRenderedPageBreak/>
        <w:t>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465" w:rsidRDefault="00A10465" w:rsidP="00136074">
      <w:r>
        <w:separator/>
      </w:r>
    </w:p>
  </w:endnote>
  <w:endnote w:type="continuationSeparator" w:id="0">
    <w:p w:rsidR="00A10465" w:rsidRDefault="00A10465"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F8" w:rsidRDefault="00C602F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602F8" w:rsidRDefault="00C602F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C602F8" w:rsidRDefault="00C602F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51880">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51880">
              <w:rPr>
                <w:b/>
                <w:bCs/>
                <w:noProof/>
              </w:rPr>
              <w:t>44</w:t>
            </w:r>
            <w:r>
              <w:rPr>
                <w:b/>
                <w:bCs/>
                <w:sz w:val="24"/>
                <w:szCs w:val="24"/>
              </w:rPr>
              <w:fldChar w:fldCharType="end"/>
            </w:r>
          </w:p>
        </w:sdtContent>
      </w:sdt>
    </w:sdtContent>
  </w:sdt>
  <w:p w:rsidR="00C602F8" w:rsidRPr="00136074" w:rsidRDefault="00C602F8"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465" w:rsidRDefault="00A10465" w:rsidP="00136074">
      <w:r>
        <w:separator/>
      </w:r>
    </w:p>
  </w:footnote>
  <w:footnote w:type="continuationSeparator" w:id="0">
    <w:p w:rsidR="00A10465" w:rsidRDefault="00A10465"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72133"/>
    <w:rsid w:val="000772C1"/>
    <w:rsid w:val="00080BA1"/>
    <w:rsid w:val="000B4125"/>
    <w:rsid w:val="000E1461"/>
    <w:rsid w:val="000E4239"/>
    <w:rsid w:val="000F5F8A"/>
    <w:rsid w:val="00106453"/>
    <w:rsid w:val="00136074"/>
    <w:rsid w:val="001523F8"/>
    <w:rsid w:val="00166D6C"/>
    <w:rsid w:val="001A4939"/>
    <w:rsid w:val="001B498B"/>
    <w:rsid w:val="001E6CB0"/>
    <w:rsid w:val="001F4BB3"/>
    <w:rsid w:val="002022CD"/>
    <w:rsid w:val="00223B6C"/>
    <w:rsid w:val="002718DB"/>
    <w:rsid w:val="002D1CFA"/>
    <w:rsid w:val="00310014"/>
    <w:rsid w:val="00332CF4"/>
    <w:rsid w:val="00351880"/>
    <w:rsid w:val="003923E4"/>
    <w:rsid w:val="00394EBE"/>
    <w:rsid w:val="003B7DEA"/>
    <w:rsid w:val="003C41F5"/>
    <w:rsid w:val="003C79C5"/>
    <w:rsid w:val="003F0B92"/>
    <w:rsid w:val="00410DB8"/>
    <w:rsid w:val="00412EBB"/>
    <w:rsid w:val="0045249F"/>
    <w:rsid w:val="00467D49"/>
    <w:rsid w:val="00484CEF"/>
    <w:rsid w:val="00484F9A"/>
    <w:rsid w:val="00486E55"/>
    <w:rsid w:val="0049104A"/>
    <w:rsid w:val="00496919"/>
    <w:rsid w:val="004A4F9E"/>
    <w:rsid w:val="004F0431"/>
    <w:rsid w:val="0051360D"/>
    <w:rsid w:val="00564FD2"/>
    <w:rsid w:val="00572D7B"/>
    <w:rsid w:val="00573377"/>
    <w:rsid w:val="00591C22"/>
    <w:rsid w:val="005974A7"/>
    <w:rsid w:val="005C6ACF"/>
    <w:rsid w:val="00626840"/>
    <w:rsid w:val="00632354"/>
    <w:rsid w:val="006472BA"/>
    <w:rsid w:val="00661926"/>
    <w:rsid w:val="00671BFF"/>
    <w:rsid w:val="00693FB8"/>
    <w:rsid w:val="00697E86"/>
    <w:rsid w:val="006B488F"/>
    <w:rsid w:val="006E0FA2"/>
    <w:rsid w:val="006F590B"/>
    <w:rsid w:val="00732038"/>
    <w:rsid w:val="0075131A"/>
    <w:rsid w:val="0075592E"/>
    <w:rsid w:val="00765073"/>
    <w:rsid w:val="00771375"/>
    <w:rsid w:val="0077382C"/>
    <w:rsid w:val="007C518D"/>
    <w:rsid w:val="007F60B4"/>
    <w:rsid w:val="0084710A"/>
    <w:rsid w:val="0084733C"/>
    <w:rsid w:val="008A16EE"/>
    <w:rsid w:val="008B04D3"/>
    <w:rsid w:val="008C38A4"/>
    <w:rsid w:val="009046C2"/>
    <w:rsid w:val="009119A9"/>
    <w:rsid w:val="00917F47"/>
    <w:rsid w:val="00930AA7"/>
    <w:rsid w:val="009364E8"/>
    <w:rsid w:val="009513FF"/>
    <w:rsid w:val="00974CDB"/>
    <w:rsid w:val="00981106"/>
    <w:rsid w:val="009A1014"/>
    <w:rsid w:val="009C36A4"/>
    <w:rsid w:val="009D5FED"/>
    <w:rsid w:val="009D798B"/>
    <w:rsid w:val="009E6368"/>
    <w:rsid w:val="009E6372"/>
    <w:rsid w:val="009F5080"/>
    <w:rsid w:val="00A10465"/>
    <w:rsid w:val="00A260DC"/>
    <w:rsid w:val="00A26175"/>
    <w:rsid w:val="00AB425B"/>
    <w:rsid w:val="00AD5C54"/>
    <w:rsid w:val="00B24736"/>
    <w:rsid w:val="00B3405C"/>
    <w:rsid w:val="00B3630E"/>
    <w:rsid w:val="00BD128C"/>
    <w:rsid w:val="00BF1829"/>
    <w:rsid w:val="00C206F8"/>
    <w:rsid w:val="00C34E29"/>
    <w:rsid w:val="00C53D25"/>
    <w:rsid w:val="00C548A6"/>
    <w:rsid w:val="00C54D0E"/>
    <w:rsid w:val="00C602F8"/>
    <w:rsid w:val="00C74BB3"/>
    <w:rsid w:val="00C77485"/>
    <w:rsid w:val="00CA28E5"/>
    <w:rsid w:val="00CA293F"/>
    <w:rsid w:val="00CA3A1F"/>
    <w:rsid w:val="00CB1C4B"/>
    <w:rsid w:val="00CC2D22"/>
    <w:rsid w:val="00CE5F5E"/>
    <w:rsid w:val="00D02317"/>
    <w:rsid w:val="00D66CE0"/>
    <w:rsid w:val="00D7448A"/>
    <w:rsid w:val="00D7692C"/>
    <w:rsid w:val="00D76E34"/>
    <w:rsid w:val="00DA3CEE"/>
    <w:rsid w:val="00DA463D"/>
    <w:rsid w:val="00DA5001"/>
    <w:rsid w:val="00DB774C"/>
    <w:rsid w:val="00DE2B52"/>
    <w:rsid w:val="00DE2DF0"/>
    <w:rsid w:val="00DF5EC7"/>
    <w:rsid w:val="00DF7CFE"/>
    <w:rsid w:val="00E00502"/>
    <w:rsid w:val="00E02A38"/>
    <w:rsid w:val="00E46A13"/>
    <w:rsid w:val="00E53B7F"/>
    <w:rsid w:val="00E600E0"/>
    <w:rsid w:val="00E8246F"/>
    <w:rsid w:val="00E82B28"/>
    <w:rsid w:val="00E84B14"/>
    <w:rsid w:val="00E90FB7"/>
    <w:rsid w:val="00EA7D7E"/>
    <w:rsid w:val="00EF523D"/>
    <w:rsid w:val="00F27A9E"/>
    <w:rsid w:val="00F33A57"/>
    <w:rsid w:val="00F42C93"/>
    <w:rsid w:val="00F51742"/>
    <w:rsid w:val="00F730D7"/>
    <w:rsid w:val="00FA0626"/>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8328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14491</Words>
  <Characters>78257</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2019-07-02T12:51:00Z</cp:lastPrinted>
  <dcterms:created xsi:type="dcterms:W3CDTF">2019-07-02T12:44:00Z</dcterms:created>
  <dcterms:modified xsi:type="dcterms:W3CDTF">2019-07-02T16:00:00Z</dcterms:modified>
</cp:coreProperties>
</file>