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24736">
        <w:rPr>
          <w:rFonts w:ascii="Bookman Old Style" w:hAnsi="Bookman Old Style"/>
          <w:sz w:val="24"/>
          <w:szCs w:val="24"/>
        </w:rPr>
        <w:t>54</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B24736">
        <w:rPr>
          <w:rFonts w:ascii="Bookman Old Style" w:hAnsi="Bookman Old Style"/>
          <w:sz w:val="24"/>
          <w:szCs w:val="24"/>
        </w:rPr>
        <w:t>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B24736">
        <w:rPr>
          <w:rFonts w:ascii="Bookman Old Style" w:hAnsi="Bookman Old Style"/>
          <w:sz w:val="24"/>
          <w:szCs w:val="24"/>
        </w:rPr>
        <w:t>54</w:t>
      </w:r>
      <w:r w:rsidRPr="000F5F8A">
        <w:rPr>
          <w:rFonts w:ascii="Bookman Old Style" w:hAnsi="Bookman Old Style"/>
          <w:sz w:val="24"/>
          <w:szCs w:val="24"/>
        </w:rPr>
        <w:t>/2019 e a modalidade pregão presencial nº 2</w:t>
      </w:r>
      <w:r w:rsidR="00B24736">
        <w:rPr>
          <w:rFonts w:ascii="Bookman Old Style" w:hAnsi="Bookman Old Style"/>
          <w:sz w:val="24"/>
          <w:szCs w:val="24"/>
        </w:rPr>
        <w:t>9</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49104A">
        <w:rPr>
          <w:rFonts w:ascii="Bookman Old Style" w:hAnsi="Bookman Old Style"/>
          <w:b/>
          <w:sz w:val="24"/>
          <w:szCs w:val="24"/>
        </w:rPr>
        <w:t>13:3</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49104A">
          <w:rPr>
            <w:rFonts w:ascii="Bookman Old Style" w:hAnsi="Bookman Old Style" w:cs="Arial"/>
            <w:b/>
            <w:sz w:val="24"/>
            <w:szCs w:val="24"/>
          </w:rPr>
          <w:t>30</w:t>
        </w:r>
        <w:r w:rsidR="00B24736">
          <w:rPr>
            <w:rFonts w:ascii="Bookman Old Style" w:hAnsi="Bookman Old Style" w:cs="Arial"/>
            <w:b/>
            <w:sz w:val="24"/>
            <w:szCs w:val="24"/>
          </w:rPr>
          <w:t>/05</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49104A">
        <w:rPr>
          <w:rFonts w:ascii="Bookman Old Style" w:hAnsi="Bookman Old Style"/>
          <w:b/>
          <w:sz w:val="24"/>
          <w:szCs w:val="24"/>
        </w:rPr>
        <w:t>13:3</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B24736"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B24736" w:rsidRPr="00B24736">
        <w:rPr>
          <w:rFonts w:ascii="Bookman Old Style" w:hAnsi="Bookman Old Style"/>
          <w:bCs/>
          <w:sz w:val="24"/>
          <w:szCs w:val="24"/>
        </w:rPr>
        <w:t>A PRESENTE LICITAÇÃO VISA EVENTUAL E FUTURA AQUISIÇAO DE BRINQUEDOS PARA ATENDER DEMANDA DAS SECRETARIAS MUNICIPAIS DE ASSISTÊNCIA SOCIAL  E SECRETARIA MUNICIPAL DE EDUCAÇÃO, CONFORME DESCRIÇÃO DOS ITENS NO EDITAL E SEUS ANEXOS</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w:t>
      </w:r>
      <w:r w:rsidRPr="000F5F8A">
        <w:rPr>
          <w:rFonts w:ascii="Bookman Old Style" w:hAnsi="Bookman Old Style"/>
          <w:bCs/>
          <w:sz w:val="24"/>
          <w:szCs w:val="24"/>
        </w:rPr>
        <w:lastRenderedPageBreak/>
        <w:t>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lastRenderedPageBreak/>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B24736">
        <w:rPr>
          <w:rFonts w:ascii="Bookman Old Style" w:hAnsi="Bookman Old Style"/>
          <w:sz w:val="24"/>
          <w:szCs w:val="24"/>
        </w:rPr>
        <w:t>54</w:t>
      </w:r>
      <w:r w:rsidRPr="000F5F8A">
        <w:rPr>
          <w:rFonts w:ascii="Bookman Old Style" w:hAnsi="Bookman Old Style"/>
          <w:sz w:val="24"/>
          <w:szCs w:val="24"/>
        </w:rPr>
        <w:t xml:space="preserve">/2019 Modalidade Pregão Presencial nº </w:t>
      </w:r>
      <w:fldSimple w:instr=" DOCVARIABLE &quot;NumLicitacao&quot; \* MERGEFORMAT ">
        <w:r w:rsidR="00B24736">
          <w:rPr>
            <w:rFonts w:ascii="Bookman Old Style" w:hAnsi="Bookman Old Style"/>
            <w:sz w:val="24"/>
            <w:szCs w:val="24"/>
          </w:rPr>
          <w:t>29</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B24736">
        <w:rPr>
          <w:rFonts w:ascii="Bookman Old Style" w:hAnsi="Bookman Old Style"/>
          <w:sz w:val="24"/>
          <w:szCs w:val="24"/>
        </w:rPr>
        <w:t>54</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29</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 Municipal de Educação e na Secretaria Municipal de Assistência Social.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0F5F8A">
        <w:rPr>
          <w:rFonts w:ascii="Bookman Old Style" w:hAnsi="Bookman Old Style"/>
          <w:sz w:val="24"/>
          <w:szCs w:val="24"/>
        </w:rPr>
        <w:lastRenderedPageBreak/>
        <w:t>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AD5C54">
        <w:rPr>
          <w:rFonts w:ascii="Bookman Old Style" w:hAnsi="Bookman Old Style"/>
          <w:sz w:val="24"/>
          <w:szCs w:val="24"/>
        </w:rPr>
        <w:t>14 de maio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9E6372">
        <w:rPr>
          <w:rFonts w:ascii="Bookman Old Style" w:hAnsi="Bookman Old Style"/>
          <w:sz w:val="24"/>
          <w:szCs w:val="24"/>
        </w:rPr>
        <w:t>54</w:t>
      </w:r>
      <w:r w:rsidR="00025C11" w:rsidRPr="000F5F8A">
        <w:rPr>
          <w:rFonts w:ascii="Bookman Old Style" w:hAnsi="Bookman Old Style"/>
          <w:sz w:val="24"/>
          <w:szCs w:val="24"/>
        </w:rPr>
        <w:t>/2019</w:t>
      </w:r>
    </w:p>
    <w:p w:rsidR="003F0B92" w:rsidRPr="00D02317" w:rsidRDefault="00025C11" w:rsidP="00D0231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9E6372">
        <w:rPr>
          <w:rFonts w:ascii="Bookman Old Style" w:hAnsi="Bookman Old Style"/>
          <w:sz w:val="24"/>
          <w:szCs w:val="24"/>
        </w:rPr>
        <w:t>9</w:t>
      </w:r>
      <w:r w:rsidRPr="000F5F8A">
        <w:rPr>
          <w:rFonts w:ascii="Bookman Old Style" w:hAnsi="Bookman Old Style"/>
          <w:sz w:val="24"/>
          <w:szCs w:val="24"/>
        </w:rPr>
        <w:t>/20</w:t>
      </w:r>
      <w:r w:rsidR="00D02317">
        <w:rPr>
          <w:rFonts w:ascii="Bookman Old Style" w:hAnsi="Bookman Old Style"/>
          <w:sz w:val="24"/>
          <w:szCs w:val="24"/>
        </w:rPr>
        <w:t>19</w:t>
      </w:r>
    </w:p>
    <w:p w:rsidR="003F0B92" w:rsidRPr="000F5F8A" w:rsidRDefault="003F0B92" w:rsidP="0049104A">
      <w:pPr>
        <w:overflowPunct w:val="0"/>
        <w:autoSpaceDE w:val="0"/>
        <w:autoSpaceDN w:val="0"/>
        <w:adjustRightInd w:val="0"/>
        <w:spacing w:after="120"/>
        <w:ind w:right="-289"/>
        <w:textAlignment w:val="baseline"/>
        <w:rPr>
          <w:rFonts w:ascii="Bookman Old Style" w:hAnsi="Bookman Old Style" w:cs="Arial"/>
          <w:sz w:val="24"/>
          <w:szCs w:val="24"/>
        </w:rPr>
      </w:pPr>
    </w:p>
    <w:p w:rsidR="009E6372" w:rsidRDefault="009E6372"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Pr>
          <w:rFonts w:ascii="Bookman Old Style" w:hAnsi="Bookman Old Style"/>
          <w:sz w:val="24"/>
          <w:szCs w:val="24"/>
        </w:rPr>
        <w:t>57</w:t>
      </w:r>
      <w:r w:rsidRPr="005A7210">
        <w:rPr>
          <w:rFonts w:ascii="Bookman Old Style" w:hAnsi="Bookman Old Style"/>
          <w:sz w:val="24"/>
          <w:szCs w:val="24"/>
        </w:rPr>
        <w:t>/2019</w:t>
      </w:r>
    </w:p>
    <w:p w:rsidR="0049104A" w:rsidRPr="005A7210" w:rsidRDefault="0049104A" w:rsidP="0049104A">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Pr>
          <w:rFonts w:ascii="Bookman Old Style" w:hAnsi="Bookman Old Style"/>
          <w:sz w:val="24"/>
          <w:szCs w:val="24"/>
        </w:rPr>
        <w:t>32</w:t>
      </w:r>
      <w:r w:rsidRPr="005A7210">
        <w:rPr>
          <w:rFonts w:ascii="Bookman Old Style" w:hAnsi="Bookman Old Style"/>
          <w:sz w:val="24"/>
          <w:szCs w:val="24"/>
        </w:rPr>
        <w:t>/2019</w:t>
      </w:r>
    </w:p>
    <w:p w:rsidR="0049104A" w:rsidRPr="005A7210" w:rsidRDefault="0049104A" w:rsidP="0049104A">
      <w:pPr>
        <w:spacing w:after="120"/>
        <w:jc w:val="center"/>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632354" w:rsidRPr="00632354">
        <w:rPr>
          <w:rFonts w:ascii="Bookman Old Style" w:hAnsi="Bookman Old Style"/>
          <w:b/>
          <w:sz w:val="24"/>
          <w:szCs w:val="24"/>
        </w:rPr>
        <w:t>A PRESENTE LICITAÇÃO VISA EVENTUAL E FUTURA AQUISIÇAO DE BRINQUEDOS PARA ATENDER DEMANDA DAS SECRETARIAS MUNICIPAIS DE ASSISTÊNCIA SOCIAL  E SECRETARIA MUNICIPAL DE EDUCAÇÃO, CONFORME DESCRIÇÃO DOS ITENS NO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4"/>
        <w:gridCol w:w="1132"/>
        <w:gridCol w:w="635"/>
        <w:gridCol w:w="682"/>
        <w:gridCol w:w="3622"/>
        <w:gridCol w:w="1062"/>
        <w:gridCol w:w="1008"/>
      </w:tblGrid>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BRINQUEDO BLOCOS DE MONTAR 1000 PEÇAS PEDAGÓGICO EDUCATIVO, 1000 PEÇAS COLORIDAS PRODUZIDAS EM PLÁSTICO. CORES: VERMELHO, AZUL, AMARELO, BRANCO E VERDE MEDIDAS DAS PEÇAS: COMPRIMENTO X LARGURA X ALTURA 8 ENCAIXES = 5,0CM X 2,4CM X 2,0CM 6 ENCAIXES = 3,6CM X 2,4CM X 2,0CM 4 ENCAIXES = 2,4CM X 2,4CM X 2,0CM 2 ENCAIXES = 1,2CM X 2,4CM X 2,0CM,EMBALADO EM MOCHILA DE PLÁSTICO TRANSPARENTE.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382,26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3822,60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KIT BLOCOS 120 PEÇAS FABRICADO EM PLÁSTICO COM CORES VIVAS. PEÇAS COM DIVERSAS FORMAS. </w:t>
            </w:r>
            <w:r w:rsidRPr="00632354">
              <w:rPr>
                <w:rFonts w:ascii="Arial" w:hAnsi="Arial" w:cs="Arial"/>
                <w:sz w:val="24"/>
                <w:szCs w:val="24"/>
                <w:lang w:eastAsia="en-US"/>
              </w:rPr>
              <w:lastRenderedPageBreak/>
              <w:t>ACONDICIONADO EM SACOLA PLÁSTICA DE PVC TRANSPARENTE</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156,04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936,24</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BLOCOS MONTAR CONECTANDO IDÉIAS BRINQUEDO PEDAGÓGICO 550 PÇS BRINQUEDO PARA MONTAR-MONTA TUDO, 550 PEÇAS, EMBALADO EM MOCHILA DE PLÁSTICO TRANSPARENTE. FABRICADO EM PLÁSTICO COM CORES VIVAS. PEÇAS COM DIVERSAS FORMAS</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287,86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1727,16</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LIG CRIATIVO BLOCOS DE MONTAR 200 PEÇAS, EMBALADO EM MOCHILA DE PLÁSTICO TRANSPARENTE. FABRICADO EM PLÁSTICO COM CORES VIVAS. PEÇAS COM DIVERSAS FORMAS.</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167,63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1005,78</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LEGOS MONTAR BLOCO PLUG IDÉIAS BRINQUEDO PEDAGÓGICO 1000 PÇS, DESCRIÇÃO DO PRODUTO: LEGOS PLUGANDO IDÉIAS BRINQUEDOS PEDAGÓGICOS, SACOLA COM 1000 UNIDADES, PRODUZIDO EM 100% POLIPROPILENO; SELO DE APROVAÇÃO DO INMETRO, DANDO MAIOR RESISTÊNCIA E SEGURANÇA; PRODUTO COM FORMAS ARREDONDADAS; PRODUTO ATÓXICO; CORES E TEXTURAS MARCANTES;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265,00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2120,00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BLOCOS DE MONTAR INFANTIL ,19 PEÇAS, PEÇAS DE ENCAIXAR COLORIDAS,GRANDES, </w:t>
            </w:r>
            <w:r w:rsidRPr="00632354">
              <w:rPr>
                <w:rFonts w:ascii="Arial" w:hAnsi="Arial" w:cs="Arial"/>
                <w:sz w:val="24"/>
                <w:szCs w:val="24"/>
                <w:lang w:eastAsia="en-US"/>
              </w:rPr>
              <w:lastRenderedPageBreak/>
              <w:t xml:space="preserve">MATERIAL: PLÁSTICO. IDADE RECOMENDADA: A PARTIR DE 18 MESES. CONTEÚDO: 17 BLOCOS,02 PINOS COM RODAS E TAMPA COM ENCAIXES. DIMENSÕES DA EMBALAGEM APROX.(AXLXP): 24 X 18 X 14CM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22,70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136,20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7</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COLEÇÃO MEU CHAZINHO, CONTÉM:- 1 JARRA COM TAMPA, 4 XÍCARAS,1 AÇUCAREIRO, 2 COLHERES, 4 COPOS, 2 FACAS, 2 GARFOS, 1 TRAVESSA, 4 PIRES, 7 CAIXINHAS, 1 TOALHA DE PAPEL. IDADE RECOMENDADA: A PARTIR DE 3 ANOS.MEDIDAS DA EMBALAGEM ALTURA: 31 CM LARGURA: 39 CM COMPRIMENTO: 6,5 CM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43,93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658,95</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KIT 23 PEÇAS, COM PANELINHA E FOGÃO, 14 PEÇAS INTEIRAS (28 METADES), 02 TÁBUAS, 01 FOGÃO, 01 PANELINHA COM TAMPA, 01 OVO, 01 PRATINHO, 02 FAQUINHAS E 01 CESTA</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147,26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2208,90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11,00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BRINQUEDO INFANTIL KIT COZINHA COMPLETO, COM PANELINHA, FRIGIDEIRA, LEITEIRA, PRATINHOS, COPINHOS E TALHERES, TUDO PARA A BRINCADEIRA DE CASINHA DAS CRIANÇAS FICAR AINDA MELHOR,15 PEÇAS.</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84,96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934,56</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BALDE DIDÁTICO, AJUDA A CRIANÇA A DISTINGUIR FORMAS E CORES! O </w:t>
            </w:r>
            <w:r w:rsidRPr="00632354">
              <w:rPr>
                <w:rFonts w:ascii="Arial" w:hAnsi="Arial" w:cs="Arial"/>
                <w:sz w:val="24"/>
                <w:szCs w:val="24"/>
                <w:lang w:eastAsia="en-US"/>
              </w:rPr>
              <w:lastRenderedPageBreak/>
              <w:t xml:space="preserve">BALDINHO VEM COM CINCO BLOQUINHOS DIDÁTICOS DE ENCAIXAR DE CORES E FORMAS DIFERENTES. AUXILIA O BEBÊ A DISTINGUIR FORMAS E CORES E ESTIMULA A COORDENAÇÃO MOTORA.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19,93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119,58</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BALDE PARA AREIA COM ACESSÓRIOS FAIXA ETÁRIA RECOMENDADA: A PARTIR DE 1 ANO DIMENSÕES DO PRODUTO: 18X18X17 CM DIMENSÕES DO PRODUTO COM EMBALAGEM: 20X20X19 CM PESO APROXIMADO DO PRODUTO: 300G ITENS INCLUSOS: 1 BALDE, 1 PÁ, 1 RASTELO E 3 MOLDES COMPOSIÇÃO / MATERIAL: PLÁSTICO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28,46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1423,00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CAÇAMBA CAMINHÃO BASCULANTE, MODERNO E COLORIDO, CAÇAMBA RECLINÁVEL. COM CERTIFICADO INMETRO COMPRIMENTO: 51CM LARGURA: 19CM ALTURA: 17CM.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61,33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1839,90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KIT FERRAMENTA FAIXA ETÁRIA RECOMENDADA: A PARTIR DE 3 ANOS DIMENSÕES DO PRODUTO: 23X16X9 CM DIMENSÕES DO PRODUTO COM EMBALAGEM: 25X18X11 CM PESO APROXIMADO DO PRODUTO: 270G ITENS INCLUSOS: 1 ALICATE, 1 CHAVE DE FENDA, 1 CHAVE DE BOCA, 1 CHAVE INGLESA, 1 SERROTE, 1 MARTELO, 2 </w:t>
            </w:r>
            <w:r w:rsidRPr="00632354">
              <w:rPr>
                <w:rFonts w:ascii="Arial" w:hAnsi="Arial" w:cs="Arial"/>
                <w:sz w:val="24"/>
                <w:szCs w:val="24"/>
                <w:lang w:eastAsia="en-US"/>
              </w:rPr>
              <w:lastRenderedPageBreak/>
              <w:t xml:space="preserve">PARAFUSOS E 2 PORCAS COMPOSIÇÃO / MATERIAL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37,33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559,95</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CADEIRINHA MULTIBLOCOS A CADEIRINHA COZINHA MULTIBLOCOS É UM BRINQUEDO 2 EM 1 PARA A DIVERSÃO DAS CRIANÇAS! ELA ACOMPANHA 30 BLOCOS DE MONTAR, 01 CADEIRINHA E SEU ASSENTO, QUE É USADO COMO BAÚ PARA GUARDAR BRINQUEDOS. DIMENSÕES DO PRODUTO (CXLXA): 28 X 15 X 30 CM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50,30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503,00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FOGÃO DE BRINQUEDO - MINI FOGÃO CHEIO DE ACESSÓRIOS COM FOGÃO E BOTIJÃO, BOTÕES QUE GIRAM, FORNO QUE ABRE A PORTA E QUE NÃO VAI PILHAS. ACOMPANHA ACESSÓRIOS: 02 PANELINHAS E 01 BOTIJÃO DE GÁS. MEDIDA APROXIMADA DO FOGÃO: 19 CM (ALTURA) X 17 CM (LARGURA) RECOMENDADO PARA CRIANÇAS ACIMA DE 3 ANOS.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151,16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1511,60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CAMINHÃO CAMINHÃO BOIADEIRO CONFECCIONADO EM PLÁSTICO, ACOMPANHA ANIMAIS. CONTEÚDO DA EMBALAGEM: 01 CAMINHÃO, 01 CARRETA E 06 ANIMAIS. DIMENSÕES DO PRODUTO: 28X14X12 CM, SELO DO INMETRO. PESO DO PRODUTO NA EMBALAGEM: 535 GRAMAS. DIMENSÕES DA EMBALAGEM (AXLXC): 17 X </w:t>
            </w:r>
            <w:r w:rsidRPr="00632354">
              <w:rPr>
                <w:rFonts w:ascii="Arial" w:hAnsi="Arial" w:cs="Arial"/>
                <w:sz w:val="24"/>
                <w:szCs w:val="24"/>
                <w:lang w:eastAsia="en-US"/>
              </w:rPr>
              <w:lastRenderedPageBreak/>
              <w:t xml:space="preserve">11 X 38 CENTÍMETROS. COMPOSIÇÃO / MATERIAL: PLÁSTICO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40,33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2823,10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17</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42,00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KIT BRINCANDO DE ENGENHEIRO O JOGO É COMPOSTO POR 73 PEÇAS CONFECCIONADAS EM MADEIRA REFLORESTADA E TINTA ATÓXICA. SÃO VÁRIOS FORMATOS, QUE POSSIBILITAM MONTAGENS INFINITAS, O QUE FAZ COM QUE SUAS CRIAÇÕES FIQUEM DO TAMANHO QUE VOCÊ QUISER, VOCÊ PODE MONTAR PEQUENAS CIDADES. O JOGO CONTRIBUI PARA O DESENVOLVIMENTO DO PENSAMENTO LÓGICO E AUXILIA NAS NOÇÕES DE ESPAÇO E COORDENAÇÃO MOTORA DA CRIANÇA, PODENDO SER UTILIZADO TANTO INDIVIDUALMENTE QUANTO EM GRUPO. ACIMA DE 3 ANOS. DIMENSÕES (LXAXP): 21X5X26 COM PESO: 900G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47,26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1984,92</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CAVALINHO UPA UPA CAVALINHO UPA UPA PULA PULA INFLÁVEL VINIL COM SOM, FEITO DE VINIL ATÓXICO DE ALTA QUALIDADE E INFLÁVEL CARACTERÍSTICAS E ESPECIFICAÇÕES: FEITO EM VINIL ATÓXICO DE ALTA QUALIDADE, INFLÁVEL, EMITE SOM DE CAVALGADA MEDIDAS APROXIMADAS: COMPRIMENTO 58CM, </w:t>
            </w:r>
            <w:r w:rsidRPr="00632354">
              <w:rPr>
                <w:rFonts w:ascii="Arial" w:hAnsi="Arial" w:cs="Arial"/>
                <w:sz w:val="24"/>
                <w:szCs w:val="24"/>
                <w:lang w:eastAsia="en-US"/>
              </w:rPr>
              <w:lastRenderedPageBreak/>
              <w:t xml:space="preserve">ALTURA 50CM, LARGURA 35CM IDEAL PARA CRIANÇAS A PARTIR DE 1 ANO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84,96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2548,80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KIT MÉDICO INFANTIL CONTÉM: 1 MALETA KIT MÉDICO COMPOSTA POR 1 ESTETOSCÓPIO, 1 SERINGA, 1 ÓCULOS, 1 ADIPÔMETRO, 1 TESOURA, 1 BANDEJA E 1 BALANÇA. IDADE RECOMENDADA: + 3 ANOS MEDIDA PRODUTO (CXLXA): 26 X 14 X 8 CM TIPO DA EMBALAGEM: PLÁSTICO ATÓXICO PESO: 260 GRAMAS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35,99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1439,60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BONECA QUE TENHA CABEÇA, BRAÇOS,PERNAS EM VINIL,CORPO FOFINHO, APROXIMADAMENTE 46CM DE ALTURA.COM ROUPAS. DIMENSÕES APROXIMADAS DO PRODUTO (CM) - AXLXP 40X11X20CM PESO LÍQ. APROXIMADO DO PRODUTO (KG) 600G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53,33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5333,00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CARRINHO DE BONECA - MATERIAL PLÁSTICO, CONTEÚDO DA EMBALAGEM: 01 CARINHO DE BONECA , GÊNERO MENINA, IDADE RECOMENDADA A PARTIR DE 03 ANOS, DIMENSÕES DO PRODUTO APROXIMADAMENTE (AXLXP) 59,5CMX46CMX32CM. SELO INMETRO.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59,30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2372,00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LOUSA MAGICA - 1 CANETA DA ART - DIMENSÃO DO PRODUTO 26X19 CM</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55,26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2210,40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TATAME EVA NÚMEROS ALFABETO E DADO 42 PEÇAS INFANTIL TAPETE, TAMANHO </w:t>
            </w:r>
            <w:r w:rsidRPr="00632354">
              <w:rPr>
                <w:rFonts w:ascii="Arial" w:hAnsi="Arial" w:cs="Arial"/>
                <w:sz w:val="24"/>
                <w:szCs w:val="24"/>
                <w:lang w:eastAsia="en-US"/>
              </w:rPr>
              <w:lastRenderedPageBreak/>
              <w:t xml:space="preserve">MONTADO: 95X110CM - MONTADO COM O DADO! DIMENSÕES:17 X 17 CM CADA PEÇA ATÓXICO,ANTI-DERRAPANTE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368,96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3689,60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24</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BIG LIG - 40 PEÇAS - COMPOSTO POR 40 PEÇAS COM CORES DIFERENTES PARA MONTAR. O TAMANHO DAS PEÇAS É IDEAL PARA A IDADE SUGERIDA. DIMENSÕES 10X5CM. IDADE A PARTIR DE 18 MESES.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264,00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BALDE CRIATIVO 18 PEÇAS COMPOSTO POR 1 BALDINHO COM TAMPA COM 4 MOLDES, 4 TUBOS, 4 SERINGAS, 4 CARIMBOS,1 ROLO, 1 ESPÁTULA E 2 POTINHOS COM MASSINHAS DE MODELAR. IDADE A PARTIR DE 3 ANOS.</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528,00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BLOCOS LÓGICOS - 48 PÇS EM MADEIRA, COMPOSTO COM 48 PEÇAS COLORIDAS, MIDINDO O QUADRADO MAIOR 70X70X18 MM. ACONDICIONADO EM CAIXA DE MADEIRA TIPO ESTOJO.</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50,40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756,00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BLOCOS DE ENCAIXE CONTÉM 01 BASE DE MADEIRA COM 10 HASTES E 25 PEÇAS COLORIDAS COM DIVERSOS FORMATOS. TAMANHO DO PAINEL MONTADO: 32 X 21 CM</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91,00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910,00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CUBOS SERIADOS COMPOSTO POR 1 BASE COM 5 HASTES, 25 CUBOS COLORIDOS E 15 PLACAS QUE PROPICIAM MÚLTIPLAS POSSIBILIDADES DE </w:t>
            </w:r>
            <w:r w:rsidRPr="00632354">
              <w:rPr>
                <w:rFonts w:ascii="Arial" w:hAnsi="Arial" w:cs="Arial"/>
                <w:sz w:val="24"/>
                <w:szCs w:val="24"/>
                <w:lang w:eastAsia="en-US"/>
              </w:rPr>
              <w:lastRenderedPageBreak/>
              <w:t>MONTAGEM. EMBALAGEM: SACOLA DE CRISTAL COM ZÍPER E ALÇA.</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86,00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860,00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29</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DADOS DE NÚMEROS E PONTOS CONJUNTO CONFECCIONADO EM ESPUMA REVESTIDA DE TECIDO COMPOSTO DE 2 DADOS (PINGOS E NÚMEROS). TAMANHO DE CADA PEÇA: 16 X 16 X 16 CM CM.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96,00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1920,00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CUBO COM 6 ATIVIDADES PEDAGÓGICAS EM ESPUMA E TECIDO, CONTÉM: 1 CUBO EM ESPUMA, REVESTIDO COM TECIDO PARA 6 ATIVIDADES TAMANHO 16 X 16 X 16 CM OBJETIVO: IDEAL PARA CRIANÇAS A PARTIR DE 1 ANO DESENVOLVER A MOTRICIDADE FINA, COORDENAÇÃO VISO-MOTORA, HABILIDADES PARA DESEMPENHAR ATIVIDADES RELACIONADAS AO ATO DE SE VESTIR, ABOTOAR, ABRIR E FECHAR ZÍPER E FIVELAS, AMARRAR CADARÇOS E FITAS. EMBALAGEM: PLÁSTICO ENCOLHÍVEL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96,00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1920,00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BONECA DE PANO PRINCESA LUXO 40 CM - DIMENSÕES APROXIMADAS: 40CM(ALTURA) TECIDO: 80% ALGODÃO 20 % POLIÉSTER TECIDO DA ROUPINHA: 100% POLIÉSTER ( VOIL E SEDA CHARMOUSSE) CABEÇA DE VINIL.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2460,00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 xml:space="preserve">GLOBO MAPA MUNDI </w:t>
            </w:r>
            <w:r w:rsidRPr="00632354">
              <w:rPr>
                <w:rFonts w:ascii="Arial" w:hAnsi="Arial" w:cs="Arial"/>
                <w:sz w:val="24"/>
                <w:szCs w:val="24"/>
                <w:lang w:eastAsia="en-US"/>
              </w:rPr>
              <w:lastRenderedPageBreak/>
              <w:t>POLÍTICO 30 CM</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174,00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1044,00</w:t>
            </w:r>
          </w:p>
        </w:tc>
      </w:tr>
      <w:tr w:rsidR="0049104A" w:rsidTr="0049104A">
        <w:trPr>
          <w:jc w:val="center"/>
        </w:trPr>
        <w:tc>
          <w:tcPr>
            <w:tcW w:w="6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lastRenderedPageBreak/>
              <w:t>33</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9104A" w:rsidRPr="00632354" w:rsidRDefault="00632354">
            <w:pPr>
              <w:spacing w:before="100" w:beforeAutospacing="1" w:after="100" w:afterAutospacing="1" w:line="276" w:lineRule="auto"/>
              <w:jc w:val="both"/>
              <w:rPr>
                <w:rFonts w:eastAsiaTheme="minorEastAsia"/>
                <w:sz w:val="24"/>
                <w:szCs w:val="24"/>
                <w:lang w:eastAsia="en-US"/>
              </w:rPr>
            </w:pPr>
            <w:r w:rsidRPr="00632354">
              <w:rPr>
                <w:rFonts w:ascii="Arial" w:hAnsi="Arial" w:cs="Arial"/>
                <w:sz w:val="24"/>
                <w:szCs w:val="24"/>
                <w:lang w:eastAsia="en-US"/>
              </w:rPr>
              <w:t>TRICICLO NEW TURBO</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 xml:space="preserve">175,00 </w:t>
            </w:r>
          </w:p>
        </w:tc>
        <w:tc>
          <w:tcPr>
            <w:tcW w:w="1440" w:type="dxa"/>
            <w:tcBorders>
              <w:top w:val="single" w:sz="4" w:space="0" w:color="auto"/>
              <w:left w:val="single" w:sz="4" w:space="0" w:color="auto"/>
              <w:bottom w:val="single" w:sz="4" w:space="0" w:color="auto"/>
              <w:right w:val="single" w:sz="4" w:space="0" w:color="auto"/>
            </w:tcBorders>
            <w:hideMark/>
          </w:tcPr>
          <w:p w:rsidR="0049104A" w:rsidRDefault="0049104A">
            <w:pPr>
              <w:spacing w:line="276" w:lineRule="auto"/>
              <w:jc w:val="right"/>
              <w:rPr>
                <w:rFonts w:ascii="Arial" w:hAnsi="Arial" w:cs="Arial"/>
                <w:sz w:val="15"/>
                <w:szCs w:val="15"/>
                <w:lang w:eastAsia="en-US"/>
              </w:rPr>
            </w:pPr>
            <w:r>
              <w:rPr>
                <w:rFonts w:ascii="Arial" w:hAnsi="Arial" w:cs="Arial"/>
                <w:sz w:val="15"/>
                <w:szCs w:val="15"/>
                <w:lang w:eastAsia="en-US"/>
              </w:rPr>
              <w:t>1750,00</w:t>
            </w:r>
          </w:p>
        </w:tc>
      </w:tr>
      <w:tr w:rsidR="0049104A" w:rsidTr="0049104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9104A" w:rsidRDefault="0049104A">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49104A" w:rsidRDefault="0049104A">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54.320,84 </w:t>
            </w:r>
          </w:p>
        </w:tc>
      </w:tr>
    </w:tbl>
    <w:p w:rsidR="0049104A" w:rsidRPr="005A7210" w:rsidRDefault="0049104A" w:rsidP="0049104A">
      <w:pPr>
        <w:spacing w:line="276" w:lineRule="auto"/>
        <w:jc w:val="center"/>
        <w:rPr>
          <w:rFonts w:ascii="Bookman Old Style" w:hAnsi="Bookman Old Style"/>
          <w:sz w:val="24"/>
          <w:szCs w:val="24"/>
        </w:rPr>
      </w:pPr>
      <w:r w:rsidRPr="005A7210">
        <w:rPr>
          <w:rFonts w:ascii="Bookman Old Style" w:hAnsi="Bookman Old Style" w:cs="MoolBoran"/>
          <w:sz w:val="24"/>
          <w:szCs w:val="24"/>
        </w:rPr>
        <w:fldChar w:fldCharType="begin"/>
      </w:r>
      <w:r w:rsidRPr="005A7210">
        <w:rPr>
          <w:rFonts w:ascii="Bookman Old Style" w:hAnsi="Bookman Old Style" w:cs="MoolBoran"/>
          <w:sz w:val="24"/>
          <w:szCs w:val="24"/>
        </w:rPr>
        <w:instrText xml:space="preserve"> INCLUDETEXT  "C:\\Compras\\Textos\\Lista_Itens_Licitacao_ComPreçoTotal_Marca.doc"  \* MERGEFORMAT </w:instrText>
      </w:r>
      <w:r w:rsidRPr="005A7210">
        <w:rPr>
          <w:rFonts w:ascii="Bookman Old Style" w:hAnsi="Bookman Old Style" w:cs="MoolBoran"/>
          <w:sz w:val="24"/>
          <w:szCs w:val="24"/>
        </w:rPr>
        <w:fldChar w:fldCharType="separate"/>
      </w:r>
    </w:p>
    <w:p w:rsidR="0049104A" w:rsidRPr="005A7210" w:rsidRDefault="0049104A" w:rsidP="0049104A">
      <w:pPr>
        <w:spacing w:line="276" w:lineRule="auto"/>
        <w:jc w:val="center"/>
        <w:rPr>
          <w:rFonts w:ascii="Bookman Old Style" w:hAnsi="Bookman Old Style"/>
          <w:b/>
          <w:sz w:val="24"/>
          <w:szCs w:val="24"/>
        </w:rPr>
      </w:pPr>
      <w:r w:rsidRPr="005A7210">
        <w:rPr>
          <w:rFonts w:ascii="Bookman Old Style" w:hAnsi="Bookman Old Style" w:cs="MoolBoran"/>
          <w:sz w:val="24"/>
          <w:szCs w:val="24"/>
        </w:rPr>
        <w:fldChar w:fldCharType="end"/>
      </w:r>
    </w:p>
    <w:p w:rsidR="0049104A" w:rsidRPr="005A7210" w:rsidRDefault="0049104A" w:rsidP="0049104A">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632354" w:rsidRPr="009E6372" w:rsidRDefault="00632354" w:rsidP="00632354">
      <w:pPr>
        <w:overflowPunct w:val="0"/>
        <w:autoSpaceDE w:val="0"/>
        <w:autoSpaceDN w:val="0"/>
        <w:adjustRightInd w:val="0"/>
        <w:spacing w:after="120"/>
        <w:jc w:val="both"/>
        <w:rPr>
          <w:rFonts w:ascii="Bookman Old Style" w:hAnsi="Bookman Old Style"/>
          <w:bCs/>
          <w:color w:val="FF0000"/>
          <w:sz w:val="24"/>
          <w:szCs w:val="24"/>
        </w:rPr>
      </w:pPr>
      <w:r w:rsidRPr="009E6372">
        <w:rPr>
          <w:rFonts w:ascii="Bookman Old Style" w:hAnsi="Bookman Old Style" w:cs="Arial"/>
          <w:color w:val="000000"/>
          <w:sz w:val="24"/>
          <w:szCs w:val="24"/>
        </w:rPr>
        <w:t>Esta solicitação se faz necessária para suprir as necessidades de brinquedos educativos e materiais pedagógicos para realização atividades que possam melhorar o processo de aprendizagem e facilitar o seu desenvolvimento psicomotor dos alunos, tendo em vista que esse o principal fundamento da educação infantil o desenvolvimento do Lúcido relacionado ao desenvolvimento da criança.</w:t>
      </w:r>
    </w:p>
    <w:p w:rsidR="00632354" w:rsidRDefault="00632354" w:rsidP="00632354">
      <w:pPr>
        <w:ind w:firstLine="708"/>
        <w:jc w:val="both"/>
        <w:rPr>
          <w:rFonts w:ascii="Bookman Old Style" w:hAnsi="Bookman Old Style"/>
          <w:sz w:val="24"/>
          <w:szCs w:val="24"/>
        </w:rPr>
      </w:pPr>
      <w:r w:rsidRPr="009E6372">
        <w:rPr>
          <w:rFonts w:ascii="Bookman Old Style" w:hAnsi="Bookman Old Style"/>
          <w:sz w:val="24"/>
          <w:szCs w:val="24"/>
        </w:rPr>
        <w:t>Por muito tempo a educação das crianças de O a 5 anos, não era considerada de grande importância, bastando que fossem alimentadas e cuidadas. Hoje ao fazer parte da Primeira Etapa da Educação Básica, a Educação Infantil é concebida como questões de direito, de cidadania e de qualidade. E para se educar com qualidade as brincadeiras, os brinquedos e as interações são considerados eixos fundamentais no processo da formação e construção da criança. É através da brincadeira que a criança toma decisões, expressa sentimentos e valores, conhece a si mesma, as outras pessoas e ao mundo e que vive</w:t>
      </w:r>
      <w:r>
        <w:rPr>
          <w:rFonts w:ascii="Bookman Old Style" w:hAnsi="Bookman Old Style"/>
          <w:sz w:val="24"/>
          <w:szCs w:val="24"/>
        </w:rPr>
        <w:t>.</w:t>
      </w:r>
    </w:p>
    <w:p w:rsidR="00632354" w:rsidRDefault="00632354" w:rsidP="00632354">
      <w:pPr>
        <w:ind w:firstLine="708"/>
        <w:jc w:val="both"/>
        <w:rPr>
          <w:rFonts w:ascii="Bookman Old Style" w:hAnsi="Bookman Old Style" w:cs="Arial"/>
          <w:color w:val="000000"/>
          <w:sz w:val="24"/>
          <w:szCs w:val="24"/>
        </w:rPr>
      </w:pPr>
      <w:r w:rsidRPr="009E6372">
        <w:rPr>
          <w:rFonts w:ascii="Bookman Old Style" w:hAnsi="Bookman Old Style" w:cs="Arial"/>
          <w:color w:val="000000"/>
          <w:sz w:val="24"/>
          <w:szCs w:val="24"/>
        </w:rPr>
        <w:t>Será aplicado no desenvolvimento de todas as atividades que envolva o aluno e o processo de desenvolvimento psicomotor do mesmo e o incentivo a interação e socialização no meio escolar.</w:t>
      </w:r>
    </w:p>
    <w:p w:rsidR="00632354" w:rsidRPr="009E6372" w:rsidRDefault="00632354" w:rsidP="00632354">
      <w:pPr>
        <w:ind w:firstLine="708"/>
        <w:jc w:val="both"/>
        <w:rPr>
          <w:rFonts w:ascii="Bookman Old Style" w:hAnsi="Bookman Old Style"/>
          <w:sz w:val="24"/>
          <w:szCs w:val="24"/>
        </w:rPr>
      </w:pPr>
      <w:r w:rsidRPr="009E6372">
        <w:rPr>
          <w:rFonts w:ascii="Bookman Old Style" w:hAnsi="Bookman Old Style"/>
          <w:color w:val="3B3835"/>
          <w:sz w:val="24"/>
          <w:szCs w:val="24"/>
          <w:shd w:val="clear" w:color="auto" w:fill="EEEEEE"/>
        </w:rPr>
        <w:t>Considerando que brincar em um ambiente apropriado, com brinquedos adequados à faixa etária torna-se uma atividade lúdica e educativa e ao mesmo tempo proporciona às crianças interação, desenvolve regras de convivência e estas atividades trabalha</w:t>
      </w:r>
      <w:r>
        <w:rPr>
          <w:rFonts w:ascii="Bookman Old Style" w:hAnsi="Bookman Old Style"/>
          <w:color w:val="3B3835"/>
          <w:sz w:val="24"/>
          <w:szCs w:val="24"/>
          <w:shd w:val="clear" w:color="auto" w:fill="EEEEEE"/>
        </w:rPr>
        <w:t>m</w:t>
      </w:r>
      <w:r w:rsidRPr="009E6372">
        <w:rPr>
          <w:rFonts w:ascii="Bookman Old Style" w:hAnsi="Bookman Old Style"/>
          <w:color w:val="3B3835"/>
          <w:sz w:val="24"/>
          <w:szCs w:val="24"/>
          <w:shd w:val="clear" w:color="auto" w:fill="EEEEEE"/>
        </w:rPr>
        <w:t xml:space="preserve"> a parte afetiva e emocional, permite a socialização, o exercício físico e o aperfeiçoamento da coordenação motora. Dessa forma ao analisar a realidade educacional na</w:t>
      </w:r>
      <w:r>
        <w:rPr>
          <w:rFonts w:ascii="Bookman Old Style" w:hAnsi="Bookman Old Style"/>
          <w:color w:val="3B3835"/>
          <w:sz w:val="24"/>
          <w:szCs w:val="24"/>
          <w:shd w:val="clear" w:color="auto" w:fill="EEEEEE"/>
        </w:rPr>
        <w:t>s Escola Municipais</w:t>
      </w:r>
      <w:r w:rsidRPr="009E6372">
        <w:rPr>
          <w:rFonts w:ascii="Bookman Old Style" w:hAnsi="Bookman Old Style"/>
          <w:color w:val="3B3835"/>
          <w:sz w:val="24"/>
          <w:szCs w:val="24"/>
          <w:shd w:val="clear" w:color="auto" w:fill="EEEEEE"/>
        </w:rPr>
        <w:t xml:space="preserve"> de Educação Infantil </w:t>
      </w:r>
      <w:r>
        <w:rPr>
          <w:rFonts w:ascii="Bookman Old Style" w:hAnsi="Bookman Old Style"/>
          <w:color w:val="3B3835"/>
          <w:sz w:val="24"/>
          <w:szCs w:val="24"/>
          <w:shd w:val="clear" w:color="auto" w:fill="EEEEEE"/>
        </w:rPr>
        <w:t>e Ensino Fundamental – Anos Iniciais</w:t>
      </w:r>
      <w:r w:rsidRPr="009E6372">
        <w:rPr>
          <w:rFonts w:ascii="Bookman Old Style" w:hAnsi="Bookman Old Style"/>
          <w:color w:val="3B3835"/>
          <w:sz w:val="24"/>
          <w:szCs w:val="24"/>
          <w:shd w:val="clear" w:color="auto" w:fill="EEEEEE"/>
        </w:rPr>
        <w:t>, há uma preocupação por parte dos profissionais desta instituição, pois nos deparamos com uma brinquedoteca inadequada, com falta de brinquedos, os que existem estão quebrados. Portanto, para que haja um melhor aprendizado as crianças necessitaram de um espaço atraente e prazeroso, onde desfrutarão de momentos de entretenimento e diversão uma vez que a maioria delas é oriunda de famílias carentes. Mais do que ficarem limitadas às atividades realizadas em salas de aula, as criança terão oportunidade de aprendizagem em um espaço atraente e prazeroso,onde desfrutarão de momentos de entretenimento e diversão uma vez que a maioria delas é oriunda de famílias carentes</w:t>
      </w:r>
      <w:r>
        <w:rPr>
          <w:rFonts w:ascii="Helvetica" w:hAnsi="Helvetica"/>
          <w:color w:val="3B3835"/>
          <w:sz w:val="16"/>
          <w:szCs w:val="16"/>
          <w:shd w:val="clear" w:color="auto" w:fill="EEEEEE"/>
        </w:rPr>
        <w:t>.</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lastRenderedPageBreak/>
        <w:t>3.1.</w:t>
      </w:r>
      <w:r w:rsidRPr="005A7210">
        <w:rPr>
          <w:rFonts w:ascii="Bookman Old Style" w:hAnsi="Bookman Old Style"/>
          <w:sz w:val="24"/>
          <w:szCs w:val="24"/>
        </w:rPr>
        <w:t xml:space="preserve"> O prazo para o fornecimento deverá ser no máximo em </w:t>
      </w:r>
      <w:r w:rsidR="00632354">
        <w:rPr>
          <w:rFonts w:ascii="Bookman Old Style" w:hAnsi="Bookman Old Style"/>
          <w:sz w:val="24"/>
          <w:szCs w:val="24"/>
        </w:rPr>
        <w:t>10</w:t>
      </w:r>
      <w:r w:rsidRPr="005A7210">
        <w:rPr>
          <w:rFonts w:ascii="Bookman Old Style" w:hAnsi="Bookman Old Style"/>
          <w:sz w:val="24"/>
          <w:szCs w:val="24"/>
        </w:rPr>
        <w:t xml:space="preserve"> (três) dias úteis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município informará na Autorização de Fornecimento (AF) o local exato para a entrega,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  </w:t>
      </w:r>
      <w:r>
        <w:rPr>
          <w:rFonts w:ascii="Bookman Old Style" w:hAnsi="Bookman Old Style"/>
          <w:sz w:val="24"/>
          <w:szCs w:val="24"/>
        </w:rPr>
        <w:t xml:space="preserve">MARCIA JACOBY e CLEUSA DE SOUZA CAMPOS. </w:t>
      </w:r>
      <w:r w:rsidRPr="005A7210">
        <w:rPr>
          <w:rFonts w:ascii="Bookman Old Style" w:hAnsi="Bookman Old Style"/>
          <w:sz w:val="24"/>
          <w:szCs w:val="24"/>
        </w:rPr>
        <w:t xml:space="preserve"> </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49104A" w:rsidRPr="005A7210" w:rsidRDefault="0049104A" w:rsidP="0049104A">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Pr>
          <w:rFonts w:ascii="Bookman Old Style" w:hAnsi="Bookman Old Style" w:cs="Arial"/>
          <w:sz w:val="24"/>
          <w:szCs w:val="24"/>
        </w:rPr>
        <w:t>14 de maio</w:t>
      </w:r>
      <w:r w:rsidRPr="005A7210">
        <w:rPr>
          <w:rFonts w:ascii="Bookman Old Style" w:hAnsi="Bookman Old Style" w:cs="Arial"/>
          <w:sz w:val="24"/>
          <w:szCs w:val="24"/>
        </w:rPr>
        <w:t xml:space="preserve"> de 2019.</w:t>
      </w:r>
    </w:p>
    <w:p w:rsidR="0049104A" w:rsidRPr="005A7210" w:rsidRDefault="0049104A" w:rsidP="0049104A">
      <w:pPr>
        <w:spacing w:after="120"/>
        <w:jc w:val="both"/>
        <w:rPr>
          <w:rFonts w:ascii="Bookman Old Style" w:hAnsi="Bookman Old Style"/>
          <w:b/>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Pr="005A7210">
          <w:rPr>
            <w:rFonts w:ascii="Bookman Old Style" w:hAnsi="Bookman Old Style" w:cs="Arial"/>
            <w:sz w:val="24"/>
            <w:szCs w:val="24"/>
          </w:rPr>
          <w:t>Prefeito Municipal</w:t>
        </w:r>
      </w:fldSimple>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49104A" w:rsidRDefault="0049104A"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981106">
        <w:rPr>
          <w:rFonts w:ascii="Bookman Old Style" w:hAnsi="Bookman Old Style"/>
          <w:sz w:val="24"/>
          <w:szCs w:val="24"/>
        </w:rPr>
        <w:t>54</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981106">
        <w:rPr>
          <w:rFonts w:ascii="Bookman Old Style" w:hAnsi="Bookman Old Style"/>
          <w:sz w:val="24"/>
          <w:szCs w:val="24"/>
        </w:rPr>
        <w:t>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981106">
        <w:rPr>
          <w:rFonts w:ascii="Bookman Old Style" w:hAnsi="Bookman Old Style"/>
          <w:sz w:val="24"/>
          <w:szCs w:val="24"/>
        </w:rPr>
        <w:t>54</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981106">
        <w:rPr>
          <w:rFonts w:ascii="Bookman Old Style" w:hAnsi="Bookman Old Style"/>
          <w:sz w:val="24"/>
          <w:szCs w:val="24"/>
        </w:rPr>
        <w:t>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54</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981106">
        <w:rPr>
          <w:rFonts w:ascii="Bookman Old Style" w:hAnsi="Bookman Old Style"/>
          <w:sz w:val="24"/>
          <w:szCs w:val="24"/>
        </w:rPr>
        <w:t>9</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54</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981106">
        <w:rPr>
          <w:rFonts w:ascii="Bookman Old Style" w:hAnsi="Bookman Old Style"/>
          <w:sz w:val="24"/>
          <w:szCs w:val="24"/>
        </w:rPr>
        <w:t>9</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7"/>
          <w:w w:val="95"/>
        </w:rPr>
        <w:t xml:space="preserve"> </w:t>
      </w:r>
      <w:r w:rsidRPr="000F5F8A">
        <w:rPr>
          <w:rFonts w:ascii="Bookman Old Style" w:hAnsi="Bookman Old Style"/>
          <w:w w:val="95"/>
        </w:rPr>
        <w:t>úteis,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úteis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10 (dez)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981106">
        <w:rPr>
          <w:rFonts w:ascii="Bookman Old Style" w:hAnsi="Bookman Old Style"/>
          <w:sz w:val="24"/>
          <w:szCs w:val="24"/>
        </w:rPr>
        <w:t>54</w:t>
      </w:r>
      <w:r w:rsidR="00C548A6" w:rsidRPr="000F5F8A">
        <w:rPr>
          <w:rFonts w:ascii="Bookman Old Style" w:hAnsi="Bookman Old Style"/>
          <w:sz w:val="24"/>
          <w:szCs w:val="24"/>
        </w:rPr>
        <w:t>/2019 PREGÃO PRESENCIAL 2</w:t>
      </w:r>
      <w:r w:rsidR="00981106">
        <w:rPr>
          <w:rFonts w:ascii="Bookman Old Style" w:hAnsi="Bookman Old Style"/>
          <w:sz w:val="24"/>
          <w:szCs w:val="24"/>
        </w:rPr>
        <w:t>9</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0F5F8A" w:rsidRDefault="0084733C" w:rsidP="009046C2">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 xml:space="preserve">1.1. </w:t>
      </w:r>
      <w:r w:rsidR="00CA28E5" w:rsidRPr="00B24736">
        <w:rPr>
          <w:rFonts w:ascii="Bookman Old Style" w:hAnsi="Bookman Old Style"/>
          <w:bCs/>
          <w:sz w:val="24"/>
          <w:szCs w:val="24"/>
        </w:rPr>
        <w:t>A PRESENTE LICITAÇÃO VISA EVENTUAL E FUTURA AQUISIÇAO DE BRINQUEDOS PARA ATENDER DEMANDA DAS SECRETARIAS MUNICIPAIS DE ASSISTÊNCIA SOCIAL  E SECRETARIA MUNICIPAL DE EDUCAÇÃO, CONFORME DESCRIÇÃO DOS ITENS NO EDITAL E SEUS ANEXOS</w:t>
      </w:r>
      <w:r w:rsidRPr="000F5F8A">
        <w:rPr>
          <w:rFonts w:ascii="Bookman Old Style" w:hAnsi="Bookman Old Style"/>
          <w:bCs/>
          <w:sz w:val="24"/>
          <w:szCs w:val="24"/>
        </w:rPr>
        <w:t xml:space="preserve">, </w:t>
      </w:r>
      <w:r w:rsidRPr="000F5F8A">
        <w:rPr>
          <w:rFonts w:ascii="Bookman Old Style" w:hAnsi="Bookman Old Style"/>
          <w:sz w:val="24"/>
          <w:szCs w:val="24"/>
        </w:rPr>
        <w:t>obedecidas às disposições estabelecidas no Edital e anexos do Pregão nº 2</w:t>
      </w:r>
      <w:r w:rsidR="00981106">
        <w:rPr>
          <w:rFonts w:ascii="Bookman Old Style" w:hAnsi="Bookman Old Style"/>
          <w:sz w:val="24"/>
          <w:szCs w:val="24"/>
        </w:rPr>
        <w:t>9</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w:t>
      </w:r>
      <w:bookmarkStart w:id="0" w:name="_GoBack"/>
      <w:bookmarkEnd w:id="0"/>
      <w:r w:rsidRPr="000F5F8A">
        <w:rPr>
          <w:rFonts w:ascii="Bookman Old Style" w:hAnsi="Bookman Old Style"/>
          <w:b/>
          <w:sz w:val="24"/>
          <w:szCs w:val="24"/>
        </w:rPr>
        <w:t>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úteis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 xml:space="preserve">Caso o objeto entregue apresente defeitos durante o prazo de garantia, a CONTRATADA deverá realizar a substituição, sem ônus </w:t>
      </w:r>
      <w:r w:rsidRPr="000F5F8A">
        <w:rPr>
          <w:rFonts w:ascii="Bookman Old Style" w:hAnsi="Bookman Old Style"/>
          <w:sz w:val="24"/>
          <w:szCs w:val="24"/>
        </w:rPr>
        <w:lastRenderedPageBreak/>
        <w:t>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FB7" w:rsidRDefault="00E90FB7" w:rsidP="00136074">
      <w:r>
        <w:separator/>
      </w:r>
    </w:p>
  </w:endnote>
  <w:endnote w:type="continuationSeparator" w:id="0">
    <w:p w:rsidR="00E90FB7" w:rsidRDefault="00E90FB7"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04A" w:rsidRDefault="0049104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104A" w:rsidRDefault="0049104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49104A" w:rsidRDefault="0049104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32354">
              <w:rPr>
                <w:b/>
                <w:bCs/>
                <w:noProof/>
              </w:rPr>
              <w:t>30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32354">
              <w:rPr>
                <w:b/>
                <w:bCs/>
                <w:noProof/>
              </w:rPr>
              <w:t>53</w:t>
            </w:r>
            <w:r>
              <w:rPr>
                <w:b/>
                <w:bCs/>
                <w:sz w:val="24"/>
                <w:szCs w:val="24"/>
              </w:rPr>
              <w:fldChar w:fldCharType="end"/>
            </w:r>
          </w:p>
        </w:sdtContent>
      </w:sdt>
    </w:sdtContent>
  </w:sdt>
  <w:p w:rsidR="0049104A" w:rsidRPr="00136074" w:rsidRDefault="0049104A"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FB7" w:rsidRDefault="00E90FB7" w:rsidP="00136074">
      <w:r>
        <w:separator/>
      </w:r>
    </w:p>
  </w:footnote>
  <w:footnote w:type="continuationSeparator" w:id="0">
    <w:p w:rsidR="00E90FB7" w:rsidRDefault="00E90FB7"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772C1"/>
    <w:rsid w:val="000E1461"/>
    <w:rsid w:val="000E4239"/>
    <w:rsid w:val="000F5F8A"/>
    <w:rsid w:val="00106453"/>
    <w:rsid w:val="00136074"/>
    <w:rsid w:val="001523F8"/>
    <w:rsid w:val="00166D6C"/>
    <w:rsid w:val="001A4939"/>
    <w:rsid w:val="001B498B"/>
    <w:rsid w:val="001E6CB0"/>
    <w:rsid w:val="001F4BB3"/>
    <w:rsid w:val="002022CD"/>
    <w:rsid w:val="00223B6C"/>
    <w:rsid w:val="002718DB"/>
    <w:rsid w:val="002D1CFA"/>
    <w:rsid w:val="00310014"/>
    <w:rsid w:val="00332CF4"/>
    <w:rsid w:val="003923E4"/>
    <w:rsid w:val="00394EBE"/>
    <w:rsid w:val="003B7DEA"/>
    <w:rsid w:val="003C41F5"/>
    <w:rsid w:val="003F0B92"/>
    <w:rsid w:val="00410DB8"/>
    <w:rsid w:val="0045249F"/>
    <w:rsid w:val="00467D49"/>
    <w:rsid w:val="00484CEF"/>
    <w:rsid w:val="00484F9A"/>
    <w:rsid w:val="00486E55"/>
    <w:rsid w:val="0049104A"/>
    <w:rsid w:val="00496919"/>
    <w:rsid w:val="004A4F9E"/>
    <w:rsid w:val="004F0431"/>
    <w:rsid w:val="0051360D"/>
    <w:rsid w:val="00564FD2"/>
    <w:rsid w:val="00573377"/>
    <w:rsid w:val="005974A7"/>
    <w:rsid w:val="005C6ACF"/>
    <w:rsid w:val="00626840"/>
    <w:rsid w:val="00632354"/>
    <w:rsid w:val="006472BA"/>
    <w:rsid w:val="00661926"/>
    <w:rsid w:val="00671BFF"/>
    <w:rsid w:val="00693FB8"/>
    <w:rsid w:val="00697E86"/>
    <w:rsid w:val="006B488F"/>
    <w:rsid w:val="006E0FA2"/>
    <w:rsid w:val="006F590B"/>
    <w:rsid w:val="00732038"/>
    <w:rsid w:val="0075131A"/>
    <w:rsid w:val="0075592E"/>
    <w:rsid w:val="00765073"/>
    <w:rsid w:val="00771375"/>
    <w:rsid w:val="0077382C"/>
    <w:rsid w:val="007F60B4"/>
    <w:rsid w:val="0084710A"/>
    <w:rsid w:val="0084733C"/>
    <w:rsid w:val="008A16EE"/>
    <w:rsid w:val="008B04D3"/>
    <w:rsid w:val="008C38A4"/>
    <w:rsid w:val="009046C2"/>
    <w:rsid w:val="009119A9"/>
    <w:rsid w:val="00917F47"/>
    <w:rsid w:val="00930AA7"/>
    <w:rsid w:val="009364E8"/>
    <w:rsid w:val="009513FF"/>
    <w:rsid w:val="00974CDB"/>
    <w:rsid w:val="00981106"/>
    <w:rsid w:val="009D5FED"/>
    <w:rsid w:val="009D798B"/>
    <w:rsid w:val="009E6368"/>
    <w:rsid w:val="009E6372"/>
    <w:rsid w:val="009F5080"/>
    <w:rsid w:val="00A260DC"/>
    <w:rsid w:val="00AB425B"/>
    <w:rsid w:val="00AD5C54"/>
    <w:rsid w:val="00B24736"/>
    <w:rsid w:val="00B3405C"/>
    <w:rsid w:val="00B3630E"/>
    <w:rsid w:val="00BF1829"/>
    <w:rsid w:val="00C206F8"/>
    <w:rsid w:val="00C53D25"/>
    <w:rsid w:val="00C548A6"/>
    <w:rsid w:val="00C54D0E"/>
    <w:rsid w:val="00C77485"/>
    <w:rsid w:val="00CA28E5"/>
    <w:rsid w:val="00CA293F"/>
    <w:rsid w:val="00CA3A1F"/>
    <w:rsid w:val="00CB1C4B"/>
    <w:rsid w:val="00CC2D22"/>
    <w:rsid w:val="00CE5F5E"/>
    <w:rsid w:val="00D02317"/>
    <w:rsid w:val="00D66CE0"/>
    <w:rsid w:val="00D7448A"/>
    <w:rsid w:val="00D7692C"/>
    <w:rsid w:val="00D76E34"/>
    <w:rsid w:val="00DA3CEE"/>
    <w:rsid w:val="00DA463D"/>
    <w:rsid w:val="00DA5001"/>
    <w:rsid w:val="00DB774C"/>
    <w:rsid w:val="00DE2B52"/>
    <w:rsid w:val="00DE2DF0"/>
    <w:rsid w:val="00DF5EC7"/>
    <w:rsid w:val="00DF7CFE"/>
    <w:rsid w:val="00E02A38"/>
    <w:rsid w:val="00E46A13"/>
    <w:rsid w:val="00E53B7F"/>
    <w:rsid w:val="00E600E0"/>
    <w:rsid w:val="00E8246F"/>
    <w:rsid w:val="00E84B14"/>
    <w:rsid w:val="00E90FB7"/>
    <w:rsid w:val="00EA7D7E"/>
    <w:rsid w:val="00EF523D"/>
    <w:rsid w:val="00F27A9E"/>
    <w:rsid w:val="00F33A57"/>
    <w:rsid w:val="00F42C93"/>
    <w:rsid w:val="00F51742"/>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53</Pages>
  <Words>15984</Words>
  <Characters>86319</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2019-05-16T21:27:00Z</cp:lastPrinted>
  <dcterms:created xsi:type="dcterms:W3CDTF">2019-05-14T14:48:00Z</dcterms:created>
  <dcterms:modified xsi:type="dcterms:W3CDTF">2019-05-17T20:37:00Z</dcterms:modified>
</cp:coreProperties>
</file>