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8E2E9D">
        <w:rPr>
          <w:rFonts w:ascii="Arial" w:hAnsi="Arial" w:cs="Arial"/>
          <w:b/>
          <w:bCs/>
          <w:color w:val="000000" w:themeColor="text1"/>
          <w:sz w:val="24"/>
          <w:szCs w:val="24"/>
        </w:rPr>
        <w:t xml:space="preserve"> LICITATÓRIO Nº. 104</w:t>
      </w:r>
      <w:r w:rsidR="00D0106F" w:rsidRPr="00295246">
        <w:rPr>
          <w:rFonts w:ascii="Arial" w:hAnsi="Arial" w:cs="Arial"/>
          <w:b/>
          <w:bCs/>
          <w:color w:val="000000" w:themeColor="text1"/>
          <w:sz w:val="24"/>
          <w:szCs w:val="24"/>
        </w:rPr>
        <w:t>/2018</w:t>
      </w:r>
    </w:p>
    <w:p w:rsidR="00D0106F" w:rsidRPr="00295246" w:rsidRDefault="008E2E9D"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TOMADA DE PREÇOS 15</w:t>
      </w:r>
      <w:r w:rsidR="00D0106F" w:rsidRPr="00295246">
        <w:rPr>
          <w:rFonts w:ascii="Arial" w:hAnsi="Arial" w:cs="Arial"/>
          <w:b/>
          <w:bCs/>
          <w:color w:val="000000" w:themeColor="text1"/>
          <w:sz w:val="24"/>
          <w:szCs w:val="24"/>
        </w:rPr>
        <w:t>/2018</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4262D7"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Até às 08:00 horas, do dia 26</w:t>
      </w:r>
      <w:r w:rsidR="00D0106F" w:rsidRPr="00295246">
        <w:rPr>
          <w:rFonts w:ascii="Arial" w:hAnsi="Arial" w:cs="Arial"/>
          <w:color w:val="000000" w:themeColor="text1"/>
        </w:rPr>
        <w:t xml:space="preserve"> de novembro de 2018,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08:00 horas, do dia </w:t>
      </w:r>
      <w:r w:rsidR="002118D3" w:rsidRPr="00295246">
        <w:rPr>
          <w:rFonts w:ascii="Arial" w:hAnsi="Arial" w:cs="Arial"/>
          <w:color w:val="000000" w:themeColor="text1"/>
          <w:sz w:val="24"/>
          <w:szCs w:val="24"/>
        </w:rPr>
        <w:t>2</w:t>
      </w:r>
      <w:r w:rsidR="004262D7">
        <w:rPr>
          <w:rFonts w:ascii="Arial" w:hAnsi="Arial" w:cs="Arial"/>
          <w:color w:val="000000" w:themeColor="text1"/>
          <w:sz w:val="24"/>
          <w:szCs w:val="24"/>
        </w:rPr>
        <w:t>6</w:t>
      </w:r>
      <w:r w:rsidR="00D0106F" w:rsidRPr="00295246">
        <w:rPr>
          <w:rFonts w:ascii="Arial" w:hAnsi="Arial" w:cs="Arial"/>
          <w:color w:val="000000" w:themeColor="text1"/>
          <w:sz w:val="24"/>
          <w:szCs w:val="24"/>
        </w:rPr>
        <w:t xml:space="preserve"> de novembro de 2018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CD0559"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15</w:t>
            </w:r>
            <w:r w:rsidR="00D0106F" w:rsidRPr="00295246">
              <w:rPr>
                <w:rFonts w:ascii="Arial" w:hAnsi="Arial" w:cs="Arial"/>
                <w:color w:val="000000" w:themeColor="text1"/>
                <w:sz w:val="24"/>
                <w:szCs w:val="24"/>
              </w:rPr>
              <w:t>/2018</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CD0559"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15</w:t>
            </w:r>
            <w:r w:rsidR="00D0106F" w:rsidRPr="00295246">
              <w:rPr>
                <w:rFonts w:ascii="Arial" w:hAnsi="Arial" w:cs="Arial"/>
                <w:color w:val="000000" w:themeColor="text1"/>
                <w:sz w:val="24"/>
                <w:szCs w:val="24"/>
              </w:rPr>
              <w:t>/2018</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670032"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para a </w:t>
      </w:r>
      <w:r w:rsidR="00CD0559" w:rsidRPr="00CD0559">
        <w:rPr>
          <w:rFonts w:ascii="Arial" w:hAnsi="Arial" w:cs="Arial"/>
          <w:color w:val="000000" w:themeColor="text1"/>
          <w:sz w:val="24"/>
          <w:szCs w:val="24"/>
        </w:rPr>
        <w:t>EXECUÇÃO DO PROJETO DE CON</w:t>
      </w:r>
      <w:r w:rsidR="009E5916">
        <w:rPr>
          <w:rFonts w:ascii="Arial" w:hAnsi="Arial" w:cs="Arial"/>
          <w:color w:val="000000" w:themeColor="text1"/>
          <w:sz w:val="24"/>
          <w:szCs w:val="24"/>
        </w:rPr>
        <w:t>S</w:t>
      </w:r>
      <w:r w:rsidR="00CD0559" w:rsidRPr="00CD0559">
        <w:rPr>
          <w:rFonts w:ascii="Arial" w:hAnsi="Arial" w:cs="Arial"/>
          <w:color w:val="000000" w:themeColor="text1"/>
          <w:sz w:val="24"/>
          <w:szCs w:val="24"/>
        </w:rPr>
        <w:t>TRUÇÃO DE QUADRA ESCOLAR COBERTA REFERENTE AO TERMO DE COMPROMISSO PAC 204348/2013,</w:t>
      </w:r>
      <w:r w:rsidR="00B16A97">
        <w:rPr>
          <w:rFonts w:ascii="Arial" w:hAnsi="Arial" w:cs="Arial"/>
          <w:color w:val="000000" w:themeColor="text1"/>
          <w:sz w:val="24"/>
          <w:szCs w:val="24"/>
        </w:rPr>
        <w:t xml:space="preserve"> CONVÊNIO FNDE NÚMERO 204348/2013,</w:t>
      </w:r>
      <w:r w:rsidR="00CD0559" w:rsidRPr="00CD0559">
        <w:rPr>
          <w:rFonts w:ascii="Arial" w:hAnsi="Arial" w:cs="Arial"/>
          <w:color w:val="000000" w:themeColor="text1"/>
          <w:sz w:val="24"/>
          <w:szCs w:val="24"/>
        </w:rPr>
        <w:t xml:space="preserve"> CO</w:t>
      </w:r>
      <w:r w:rsidR="00CD0559">
        <w:rPr>
          <w:rFonts w:ascii="Arial" w:hAnsi="Arial" w:cs="Arial"/>
          <w:color w:val="000000" w:themeColor="text1"/>
          <w:sz w:val="24"/>
          <w:szCs w:val="24"/>
        </w:rPr>
        <w:t>NFORME PROJETOS, MEMORIAL DESCRI</w:t>
      </w:r>
      <w:r w:rsidR="00CD0559" w:rsidRPr="00CD0559">
        <w:rPr>
          <w:rFonts w:ascii="Arial" w:hAnsi="Arial" w:cs="Arial"/>
          <w:color w:val="000000" w:themeColor="text1"/>
          <w:sz w:val="24"/>
          <w:szCs w:val="24"/>
        </w:rPr>
        <w:t>TIVO E DEMAIS ANEXOS AO EDITAL</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mediante o regime empreitada por </w:t>
      </w:r>
      <w:r w:rsidR="00D0106F" w:rsidRPr="00295246">
        <w:rPr>
          <w:rFonts w:ascii="Arial" w:hAnsi="Arial" w:cs="Arial"/>
          <w:i/>
          <w:color w:val="000000" w:themeColor="text1"/>
          <w:sz w:val="24"/>
          <w:szCs w:val="24"/>
        </w:rPr>
        <w:t>preço global,</w:t>
      </w:r>
      <w:r w:rsidR="00D0106F" w:rsidRPr="00295246">
        <w:rPr>
          <w:rFonts w:ascii="Arial" w:hAnsi="Arial" w:cs="Arial"/>
          <w:color w:val="000000" w:themeColor="text1"/>
          <w:sz w:val="24"/>
          <w:szCs w:val="24"/>
        </w:rPr>
        <w:t xml:space="preserve"> conforme especificações constantes no Memorial Descritivo </w:t>
      </w:r>
      <w:r w:rsidR="002118D3" w:rsidRPr="00295246">
        <w:rPr>
          <w:rFonts w:ascii="Arial" w:hAnsi="Arial" w:cs="Arial"/>
          <w:color w:val="000000" w:themeColor="text1"/>
          <w:sz w:val="24"/>
          <w:szCs w:val="24"/>
        </w:rPr>
        <w:t xml:space="preserve">e demais documentos </w:t>
      </w:r>
      <w:r w:rsidR="00D0106F" w:rsidRPr="00295246">
        <w:rPr>
          <w:rFonts w:ascii="Arial" w:hAnsi="Arial" w:cs="Arial"/>
          <w:color w:val="000000" w:themeColor="text1"/>
          <w:sz w:val="24"/>
          <w:szCs w:val="24"/>
        </w:rPr>
        <w:t>–</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que é parte integrante deste Edital.</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A licitação compõe-se de item único,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serv.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B16A97" w:rsidP="009E5916">
            <w:pPr>
              <w:spacing w:before="120" w:after="120" w:line="240" w:lineRule="auto"/>
              <w:rPr>
                <w:rFonts w:ascii="Arial" w:hAnsi="Arial" w:cs="Arial"/>
                <w:sz w:val="24"/>
                <w:szCs w:val="24"/>
              </w:rPr>
            </w:pPr>
            <w:r w:rsidRPr="00295246">
              <w:rPr>
                <w:rFonts w:ascii="Arial" w:hAnsi="Arial" w:cs="Arial"/>
                <w:color w:val="000000" w:themeColor="text1"/>
                <w:sz w:val="24"/>
                <w:szCs w:val="24"/>
              </w:rPr>
              <w:t xml:space="preserve">A presente licitação tem por objeto a escolha da proposta mais vantajosa para a </w:t>
            </w:r>
            <w:r w:rsidRPr="00CD0559">
              <w:rPr>
                <w:rFonts w:ascii="Arial" w:hAnsi="Arial" w:cs="Arial"/>
                <w:color w:val="000000" w:themeColor="text1"/>
                <w:sz w:val="24"/>
                <w:szCs w:val="24"/>
              </w:rPr>
              <w:t>EXECUÇÃO DO PROJETO DE CON</w:t>
            </w:r>
            <w:r>
              <w:rPr>
                <w:rFonts w:ascii="Arial" w:hAnsi="Arial" w:cs="Arial"/>
                <w:color w:val="000000" w:themeColor="text1"/>
                <w:sz w:val="24"/>
                <w:szCs w:val="24"/>
              </w:rPr>
              <w:t>S</w:t>
            </w:r>
            <w:r w:rsidRPr="00CD0559">
              <w:rPr>
                <w:rFonts w:ascii="Arial" w:hAnsi="Arial" w:cs="Arial"/>
                <w:color w:val="000000" w:themeColor="text1"/>
                <w:sz w:val="24"/>
                <w:szCs w:val="24"/>
              </w:rPr>
              <w:t>TRUÇÃO DE QUADRA ESCOLAR COBERTA REFERENTE AO TERMO DE COMPROMISSO PAC 204348/2013,</w:t>
            </w:r>
            <w:r>
              <w:rPr>
                <w:rFonts w:ascii="Arial" w:hAnsi="Arial" w:cs="Arial"/>
                <w:color w:val="000000" w:themeColor="text1"/>
                <w:sz w:val="24"/>
                <w:szCs w:val="24"/>
              </w:rPr>
              <w:t xml:space="preserve"> CONVÊNIO FNDE NÚMERO 204348/2013,</w:t>
            </w:r>
            <w:r w:rsidRPr="00CD0559">
              <w:rPr>
                <w:rFonts w:ascii="Arial" w:hAnsi="Arial" w:cs="Arial"/>
                <w:color w:val="000000" w:themeColor="text1"/>
                <w:sz w:val="24"/>
                <w:szCs w:val="24"/>
              </w:rPr>
              <w:t xml:space="preserve"> CO</w:t>
            </w:r>
            <w:r>
              <w:rPr>
                <w:rFonts w:ascii="Arial" w:hAnsi="Arial" w:cs="Arial"/>
                <w:color w:val="000000" w:themeColor="text1"/>
                <w:sz w:val="24"/>
                <w:szCs w:val="24"/>
              </w:rPr>
              <w:t>NFORME PROJETOS, MEMORIAL DESCRI</w:t>
            </w:r>
            <w:r w:rsidRPr="00CD0559">
              <w:rPr>
                <w:rFonts w:ascii="Arial" w:hAnsi="Arial" w:cs="Arial"/>
                <w:color w:val="000000" w:themeColor="text1"/>
                <w:sz w:val="24"/>
                <w:szCs w:val="24"/>
              </w:rPr>
              <w:t>TIVO E DEMAIS ANEXOS AO EDITAL</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29265B">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Pr>
                <w:rFonts w:ascii="Arial" w:hAnsi="Arial" w:cs="Arial"/>
                <w:sz w:val="24"/>
                <w:szCs w:val="24"/>
              </w:rPr>
              <w:t>218.167,07</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29265B">
            <w:pPr>
              <w:spacing w:before="120" w:after="120" w:line="240" w:lineRule="auto"/>
              <w:jc w:val="center"/>
              <w:rPr>
                <w:rFonts w:ascii="Arial" w:hAnsi="Arial" w:cs="Arial"/>
                <w:sz w:val="24"/>
                <w:szCs w:val="24"/>
              </w:rPr>
            </w:pPr>
            <w:r>
              <w:rPr>
                <w:rFonts w:ascii="Arial" w:hAnsi="Arial" w:cs="Arial"/>
                <w:sz w:val="24"/>
                <w:szCs w:val="24"/>
              </w:rPr>
              <w:t>R$ 218.167,07</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Valor máximo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jc w:val="center"/>
              <w:rPr>
                <w:rFonts w:ascii="Arial" w:hAnsi="Arial" w:cs="Arial"/>
                <w:sz w:val="24"/>
                <w:szCs w:val="24"/>
              </w:rPr>
            </w:pPr>
            <w:r>
              <w:rPr>
                <w:rFonts w:ascii="Arial" w:hAnsi="Arial" w:cs="Arial"/>
                <w:sz w:val="24"/>
                <w:szCs w:val="24"/>
              </w:rPr>
              <w:t>R$ 218.167,07</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advindas do FNDE</w:t>
      </w:r>
      <w:r w:rsidRPr="00295246">
        <w:rPr>
          <w:rFonts w:ascii="Arial" w:hAnsi="Arial" w:cs="Arial"/>
          <w:color w:val="000000" w:themeColor="text1"/>
          <w:sz w:val="24"/>
          <w:szCs w:val="24"/>
        </w:rPr>
        <w:t>,</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Município para o exercício de 2018 na classificação abaixo:</w:t>
      </w:r>
    </w:p>
    <w:tbl>
      <w:tblPr>
        <w:tblStyle w:val="Tabelacomgrade"/>
        <w:tblW w:w="0" w:type="auto"/>
        <w:tblInd w:w="108" w:type="dxa"/>
        <w:tblLook w:val="04A0"/>
      </w:tblPr>
      <w:tblGrid>
        <w:gridCol w:w="1728"/>
        <w:gridCol w:w="1155"/>
        <w:gridCol w:w="2865"/>
        <w:gridCol w:w="2864"/>
      </w:tblGrid>
      <w:tr w:rsidR="00D0106F" w:rsidRPr="00295246" w:rsidTr="00555C9C">
        <w:tc>
          <w:tcPr>
            <w:tcW w:w="1728"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15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rsidTr="00555C9C">
        <w:tc>
          <w:tcPr>
            <w:tcW w:w="1728" w:type="dxa"/>
          </w:tcPr>
          <w:p w:rsidR="00D0106F" w:rsidRPr="00295246" w:rsidRDefault="00EE16A1"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45</w:t>
            </w:r>
          </w:p>
        </w:tc>
        <w:tc>
          <w:tcPr>
            <w:tcW w:w="1155" w:type="dxa"/>
          </w:tcPr>
          <w:p w:rsidR="00D0106F" w:rsidRPr="00295246" w:rsidRDefault="002118D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04.01</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106F" w:rsidRDefault="00D0106F" w:rsidP="00707834">
      <w:pPr>
        <w:spacing w:after="120" w:line="276" w:lineRule="auto"/>
        <w:rPr>
          <w:rFonts w:ascii="Arial" w:hAnsi="Arial" w:cs="Arial"/>
          <w:color w:val="000000" w:themeColor="text1"/>
          <w:sz w:val="24"/>
          <w:szCs w:val="24"/>
        </w:rPr>
      </w:pPr>
    </w:p>
    <w:p w:rsidR="00ED0F5B" w:rsidRDefault="00ED0F5B" w:rsidP="00ED0F5B">
      <w:pPr>
        <w:pStyle w:val="Corpodetexto"/>
        <w:spacing w:before="120" w:after="120"/>
        <w:rPr>
          <w:rFonts w:ascii="Arial" w:hAnsi="Arial" w:cs="Arial"/>
          <w:b/>
          <w:color w:val="FF0000"/>
          <w:sz w:val="24"/>
        </w:rPr>
      </w:pPr>
      <w:r w:rsidRPr="00DC591F">
        <w:rPr>
          <w:rFonts w:ascii="Arial" w:hAnsi="Arial" w:cs="Arial"/>
          <w:b/>
          <w:color w:val="FF0000"/>
          <w:sz w:val="24"/>
        </w:rPr>
        <w:t>A referida obra é proveniente de Recursos Federais, para tanto qualquer tipo de pagamento, fica condicionada a liberação por parte do, FNDE, mediante evolução da obra, após inserção de boletim de medição, no sistema SIMEC e aprovação pela concedente.</w:t>
      </w:r>
    </w:p>
    <w:p w:rsidR="00ED0F5B" w:rsidRPr="00295246" w:rsidRDefault="00ED0F5B"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B16A97" w:rsidRPr="00B16A97" w:rsidRDefault="00B16A97" w:rsidP="00707834">
      <w:pPr>
        <w:numPr>
          <w:ilvl w:val="1"/>
          <w:numId w:val="14"/>
        </w:numPr>
        <w:spacing w:before="120" w:after="120" w:line="276" w:lineRule="auto"/>
        <w:ind w:left="0" w:firstLine="0"/>
        <w:rPr>
          <w:rFonts w:ascii="Arial" w:hAnsi="Arial" w:cs="Arial"/>
          <w:bCs/>
          <w:color w:val="000000" w:themeColor="text1"/>
          <w:sz w:val="24"/>
          <w:szCs w:val="24"/>
        </w:rPr>
      </w:pPr>
      <w:r w:rsidRPr="00B16A97">
        <w:rPr>
          <w:rFonts w:ascii="Arial" w:hAnsi="Arial" w:cs="Arial"/>
          <w:bCs/>
          <w:sz w:val="24"/>
          <w:szCs w:val="24"/>
        </w:rPr>
        <w:t>Poderão participar desta licitação todas as empresas do ramo de atividade pertinente ao objeto da contratação e que preencherem as condições de credenciamento e demais condições constantes neste Edital.</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lastRenderedPageBreak/>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w:t>
      </w:r>
      <w:r w:rsidRPr="00295246">
        <w:rPr>
          <w:rFonts w:ascii="Arial" w:hAnsi="Arial"/>
          <w:color w:val="000000" w:themeColor="text1"/>
          <w:sz w:val="24"/>
          <w:szCs w:val="24"/>
        </w:rPr>
        <w:lastRenderedPageBreak/>
        <w:t xml:space="preserve">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significativo da contratação, a saber:</w:t>
      </w:r>
      <w:r w:rsidRPr="001D2021">
        <w:rPr>
          <w:rFonts w:ascii="Arial" w:hAnsi="Arial"/>
          <w:color w:val="000000" w:themeColor="text1"/>
          <w:sz w:val="24"/>
          <w:szCs w:val="24"/>
        </w:rPr>
        <w:t xml:space="preserve"> </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 xml:space="preserve">Certidão negativa de falência e concordata, ou de execução patrimonial, conforme o caso, expedida pelo distribuidor da sede do licitante, ou </w:t>
      </w:r>
      <w:r w:rsidRPr="00295246">
        <w:rPr>
          <w:rFonts w:ascii="Arial" w:hAnsi="Arial" w:cs="Arial"/>
          <w:color w:val="000000" w:themeColor="text1"/>
        </w:rPr>
        <w:lastRenderedPageBreak/>
        <w:t>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lastRenderedPageBreak/>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lastRenderedPageBreak/>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Os atos públicos poderão ser assistidos por qualquer pessoa, mas somente deles participarão ativamente os licitantes ou representantes credenciados, não sendo permitida a intercomunicação entre eles, nem </w:t>
      </w:r>
      <w:r w:rsidR="00D0106F" w:rsidRPr="00295246">
        <w:rPr>
          <w:rFonts w:ascii="Arial" w:hAnsi="Arial"/>
          <w:color w:val="000000" w:themeColor="text1"/>
          <w:sz w:val="24"/>
          <w:szCs w:val="24"/>
        </w:rPr>
        <w:lastRenderedPageBreak/>
        <w:t>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Havendo sorteio para definir a colocação, será elaborada a nova </w:t>
      </w:r>
      <w:r w:rsidRPr="00295246">
        <w:rPr>
          <w:rFonts w:ascii="Arial" w:hAnsi="Arial" w:cs="Arial"/>
          <w:color w:val="000000" w:themeColor="text1"/>
          <w:sz w:val="24"/>
          <w:szCs w:val="24"/>
        </w:rPr>
        <w:lastRenderedPageBreak/>
        <w:t>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lastRenderedPageBreak/>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 xml:space="preserve">Na hipótese de irregularidade no Cadastro com o Município, o contratado deverá regularizar a sua situação perante o cadastro no prazo de </w:t>
      </w:r>
      <w:r w:rsidRPr="00295246">
        <w:rPr>
          <w:rFonts w:ascii="Arial" w:hAnsi="Arial" w:cs="Arial"/>
          <w:color w:val="000000" w:themeColor="text1"/>
          <w:sz w:val="24"/>
        </w:rPr>
        <w:lastRenderedPageBreak/>
        <w:t>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 Contratada regularmente optante pelo Simples Nacional não sofrerá a retenção tributária quanto aos impostos e contribuições abrangidos por aquele regime. No entanto, o pagamento ficará condicionado à apresentação de </w:t>
      </w:r>
      <w:r w:rsidR="001E3F58" w:rsidRPr="00295246">
        <w:rPr>
          <w:rFonts w:ascii="Arial" w:hAnsi="Arial" w:cs="Arial"/>
          <w:color w:val="000000" w:themeColor="text1"/>
          <w:sz w:val="24"/>
        </w:rPr>
        <w:lastRenderedPageBreak/>
        <w:t>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E3F58" w:rsidRDefault="0097052F" w:rsidP="00707834">
      <w:pPr>
        <w:pStyle w:val="Corpodetexto"/>
        <w:spacing w:before="120" w:after="120"/>
        <w:rPr>
          <w:rFonts w:ascii="Arial" w:hAnsi="Arial" w:cs="Arial"/>
          <w:b/>
          <w:color w:val="FF0000"/>
          <w:sz w:val="24"/>
        </w:rPr>
      </w:pPr>
      <w:r>
        <w:rPr>
          <w:rFonts w:ascii="Arial" w:hAnsi="Arial" w:cs="Arial"/>
          <w:b/>
          <w:color w:val="000000" w:themeColor="text1"/>
          <w:sz w:val="24"/>
        </w:rPr>
        <w:t xml:space="preserve">16.11 </w:t>
      </w:r>
      <w:r w:rsidRPr="00DC591F">
        <w:rPr>
          <w:rFonts w:ascii="Arial" w:hAnsi="Arial" w:cs="Arial"/>
          <w:b/>
          <w:color w:val="FF0000"/>
          <w:sz w:val="24"/>
        </w:rPr>
        <w:t>A referida obra é proveniente de Recursos Federais, para tanto qualquer tipo de pagamento, fica condicionada a liberação por parte do, FNDE, mediante evolução da obra, após inserção de boletim de mediç</w:t>
      </w:r>
      <w:r w:rsidR="00DC591F" w:rsidRPr="00DC591F">
        <w:rPr>
          <w:rFonts w:ascii="Arial" w:hAnsi="Arial" w:cs="Arial"/>
          <w:b/>
          <w:color w:val="FF0000"/>
          <w:sz w:val="24"/>
        </w:rPr>
        <w:t>ão, no sistema SIMEC e aprovação pela concedente.</w:t>
      </w:r>
    </w:p>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Qualquer modificação no instrumento convocatório exige divulgação pelo mesmo instrumento de publicação em que se deu o texto original, reabrindo-se </w:t>
      </w:r>
      <w:r w:rsidRPr="00295246">
        <w:rPr>
          <w:rFonts w:ascii="Arial" w:hAnsi="Arial" w:cs="Arial"/>
          <w:color w:val="000000" w:themeColor="text1"/>
          <w:sz w:val="24"/>
          <w:szCs w:val="24"/>
        </w:rPr>
        <w:lastRenderedPageBreak/>
        <w:t>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lastRenderedPageBreak/>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97052F"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FF0000"/>
          <w:sz w:val="24"/>
          <w:szCs w:val="24"/>
        </w:rPr>
      </w:pPr>
      <w:r w:rsidRPr="0097052F">
        <w:rPr>
          <w:rFonts w:ascii="Arial" w:hAnsi="Arial" w:cs="Arial"/>
          <w:color w:val="FF0000"/>
          <w:sz w:val="24"/>
          <w:szCs w:val="24"/>
        </w:rPr>
        <w:t>ANEXO III – Planilha de custos;</w:t>
      </w:r>
      <w:r w:rsidR="0097052F" w:rsidRPr="0097052F">
        <w:rPr>
          <w:rFonts w:ascii="Arial" w:hAnsi="Arial" w:cs="Arial"/>
          <w:color w:val="FF0000"/>
          <w:sz w:val="24"/>
          <w:szCs w:val="24"/>
        </w:rPr>
        <w:t xml:space="preserve"> (PARA A PLANILHA ORÇAMENTÁRIA, COTAS A</w:t>
      </w:r>
      <w:r w:rsidR="0097052F">
        <w:rPr>
          <w:rFonts w:ascii="Arial" w:hAnsi="Arial" w:cs="Arial"/>
          <w:color w:val="FF0000"/>
          <w:sz w:val="24"/>
          <w:szCs w:val="24"/>
        </w:rPr>
        <w:t>PENAS OS ITENS REMANESCENTES, OS</w:t>
      </w:r>
      <w:r w:rsidR="0097052F" w:rsidRPr="0097052F">
        <w:rPr>
          <w:rFonts w:ascii="Arial" w:hAnsi="Arial" w:cs="Arial"/>
          <w:color w:val="FF0000"/>
          <w:sz w:val="24"/>
          <w:szCs w:val="24"/>
        </w:rPr>
        <w:t xml:space="preserve"> DEMAIS PODEM SER DESCONSIDERADOS PARA FINS DE ORÇAMENTO)</w:t>
      </w:r>
      <w:r w:rsidR="0097052F">
        <w:rPr>
          <w:rFonts w:ascii="Arial" w:hAnsi="Arial" w:cs="Arial"/>
          <w:color w:val="FF0000"/>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Pr="00D47DF2" w:rsidRDefault="00992A3E" w:rsidP="00D47DF2">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9E5916">
        <w:rPr>
          <w:rFonts w:ascii="Arial" w:hAnsi="Arial" w:cs="Arial"/>
          <w:color w:val="000000" w:themeColor="text1"/>
          <w:sz w:val="24"/>
          <w:szCs w:val="24"/>
        </w:rPr>
        <w:t>anta Terezinha do Progresso - 01 de novembro</w:t>
      </w:r>
      <w:r w:rsidRPr="00295246">
        <w:rPr>
          <w:rFonts w:ascii="Arial" w:hAnsi="Arial" w:cs="Arial"/>
          <w:color w:val="000000" w:themeColor="text1"/>
          <w:sz w:val="24"/>
          <w:szCs w:val="24"/>
        </w:rPr>
        <w:t xml:space="preserve"> de 2018</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lastRenderedPageBreak/>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104</w:t>
      </w:r>
      <w:r w:rsidR="00D0106F" w:rsidRPr="00295246">
        <w:rPr>
          <w:rFonts w:ascii="Arial" w:hAnsi="Arial" w:cs="Arial"/>
          <w:color w:val="000000" w:themeColor="text1"/>
          <w:sz w:val="24"/>
          <w:szCs w:val="24"/>
        </w:rPr>
        <w:t>/2018 – Tomada d</w:t>
      </w:r>
      <w:r>
        <w:rPr>
          <w:rFonts w:ascii="Arial" w:hAnsi="Arial" w:cs="Arial"/>
          <w:color w:val="000000" w:themeColor="text1"/>
          <w:sz w:val="24"/>
          <w:szCs w:val="24"/>
        </w:rPr>
        <w:t>e Preços 15</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lastRenderedPageBreak/>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104/2018 – Tomada de Preços 15</w:t>
      </w:r>
      <w:r w:rsidR="00D0106F" w:rsidRPr="00295246">
        <w:rPr>
          <w:rFonts w:ascii="Arial" w:hAnsi="Arial" w:cs="Arial"/>
          <w:color w:val="000000" w:themeColor="text1"/>
          <w:sz w:val="24"/>
          <w:szCs w:val="24"/>
        </w:rPr>
        <w:t>/201</w:t>
      </w:r>
      <w:r w:rsidR="003A1FDA" w:rsidRPr="00295246">
        <w:rPr>
          <w:rFonts w:ascii="Arial" w:hAnsi="Arial" w:cs="Arial"/>
          <w:color w:val="000000" w:themeColor="text1"/>
          <w:sz w:val="24"/>
          <w:szCs w:val="24"/>
        </w:rPr>
        <w:t>8</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TOMADA DE PREÇOS Nº 014</w:t>
      </w:r>
      <w:r w:rsidRPr="00295246">
        <w:rPr>
          <w:rFonts w:ascii="Arial" w:hAnsi="Arial" w:cs="Arial"/>
          <w:color w:val="000000" w:themeColor="text1"/>
          <w:sz w:val="24"/>
          <w:szCs w:val="24"/>
        </w:rPr>
        <w:t xml:space="preserve">/2018.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Prezados Senhores, </w:t>
      </w:r>
    </w:p>
    <w:p w:rsidR="00C725F4"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9B5691" w:rsidRPr="00295246">
        <w:rPr>
          <w:rFonts w:ascii="Arial" w:hAnsi="Arial" w:cs="Arial"/>
          <w:color w:val="000000" w:themeColor="text1"/>
          <w:sz w:val="24"/>
          <w:szCs w:val="24"/>
        </w:rPr>
        <w:t xml:space="preserve">A presente licitação tem por objeto a escolha da proposta mais vantajosa para a </w:t>
      </w:r>
      <w:r w:rsidR="009B5691" w:rsidRPr="00CD0559">
        <w:rPr>
          <w:rFonts w:ascii="Arial" w:hAnsi="Arial" w:cs="Arial"/>
          <w:color w:val="000000" w:themeColor="text1"/>
          <w:sz w:val="24"/>
          <w:szCs w:val="24"/>
        </w:rPr>
        <w:t>EXECUÇÃO DO PROJETO DE CON</w:t>
      </w:r>
      <w:r w:rsidR="009B5691">
        <w:rPr>
          <w:rFonts w:ascii="Arial" w:hAnsi="Arial" w:cs="Arial"/>
          <w:color w:val="000000" w:themeColor="text1"/>
          <w:sz w:val="24"/>
          <w:szCs w:val="24"/>
        </w:rPr>
        <w:t>S</w:t>
      </w:r>
      <w:r w:rsidR="009B5691" w:rsidRPr="00CD0559">
        <w:rPr>
          <w:rFonts w:ascii="Arial" w:hAnsi="Arial" w:cs="Arial"/>
          <w:color w:val="000000" w:themeColor="text1"/>
          <w:sz w:val="24"/>
          <w:szCs w:val="24"/>
        </w:rPr>
        <w:t>TRUÇÃO DE QUADRA ESCOLAR COBERTA REFERENTE AO TERMO DE COMPROMISSO PAC 204348/2013,</w:t>
      </w:r>
      <w:r w:rsidR="009B5691">
        <w:rPr>
          <w:rFonts w:ascii="Arial" w:hAnsi="Arial" w:cs="Arial"/>
          <w:color w:val="000000" w:themeColor="text1"/>
          <w:sz w:val="24"/>
          <w:szCs w:val="24"/>
        </w:rPr>
        <w:t xml:space="preserve"> CONVÊNIO FNDE NÚMERO 204348/2013,</w:t>
      </w:r>
      <w:r w:rsidR="009B5691" w:rsidRPr="00CD0559">
        <w:rPr>
          <w:rFonts w:ascii="Arial" w:hAnsi="Arial" w:cs="Arial"/>
          <w:color w:val="000000" w:themeColor="text1"/>
          <w:sz w:val="24"/>
          <w:szCs w:val="24"/>
        </w:rPr>
        <w:t xml:space="preserve"> CO</w:t>
      </w:r>
      <w:r w:rsidR="009B5691">
        <w:rPr>
          <w:rFonts w:ascii="Arial" w:hAnsi="Arial" w:cs="Arial"/>
          <w:color w:val="000000" w:themeColor="text1"/>
          <w:sz w:val="24"/>
          <w:szCs w:val="24"/>
        </w:rPr>
        <w:t>NFORME PROJETOS, MEMORIAL DESCRI</w:t>
      </w:r>
      <w:r w:rsidR="009B5691" w:rsidRPr="00CD0559">
        <w:rPr>
          <w:rFonts w:ascii="Arial" w:hAnsi="Arial" w:cs="Arial"/>
          <w:color w:val="000000" w:themeColor="text1"/>
          <w:sz w:val="24"/>
          <w:szCs w:val="24"/>
        </w:rPr>
        <w:t>TIVO E DEMAIS ANEXOS AO EDITAL</w:t>
      </w:r>
      <w:r w:rsidR="00C725F4">
        <w:rPr>
          <w:rFonts w:ascii="Arial" w:hAnsi="Arial" w:cs="Arial"/>
          <w:color w:val="000000" w:themeColor="text1"/>
          <w:sz w:val="24"/>
          <w:szCs w:val="24"/>
        </w:rPr>
        <w:t>.</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104</w:t>
      </w:r>
      <w:r w:rsidR="00D0106F" w:rsidRPr="00295246">
        <w:rPr>
          <w:rFonts w:ascii="Arial" w:hAnsi="Arial" w:cs="Arial"/>
          <w:color w:val="000000" w:themeColor="text1"/>
          <w:sz w:val="24"/>
          <w:szCs w:val="24"/>
        </w:rPr>
        <w:t xml:space="preserve">/2018 – Tomada de </w:t>
      </w:r>
      <w:r>
        <w:rPr>
          <w:rFonts w:ascii="Arial" w:hAnsi="Arial" w:cs="Arial"/>
          <w:color w:val="000000" w:themeColor="text1"/>
          <w:sz w:val="24"/>
          <w:szCs w:val="24"/>
        </w:rPr>
        <w:t>Preços 15</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E5916" w:rsidRDefault="009E5916" w:rsidP="00670032">
      <w:pPr>
        <w:spacing w:after="120" w:line="276" w:lineRule="auto"/>
        <w:jc w:val="center"/>
        <w:rPr>
          <w:rFonts w:ascii="Arial" w:hAnsi="Arial" w:cs="Arial"/>
          <w:color w:val="000000" w:themeColor="text1"/>
          <w:sz w:val="24"/>
          <w:szCs w:val="24"/>
        </w:rPr>
      </w:pPr>
      <w:r w:rsidRPr="0097052F">
        <w:rPr>
          <w:rFonts w:ascii="Arial" w:hAnsi="Arial" w:cs="Arial"/>
          <w:color w:val="FF0000"/>
          <w:sz w:val="24"/>
          <w:szCs w:val="24"/>
        </w:rPr>
        <w:t>PARA A PLANILHA ORÇAMENTÁRIA, COTAS A</w:t>
      </w:r>
      <w:r>
        <w:rPr>
          <w:rFonts w:ascii="Arial" w:hAnsi="Arial" w:cs="Arial"/>
          <w:color w:val="FF0000"/>
          <w:sz w:val="24"/>
          <w:szCs w:val="24"/>
        </w:rPr>
        <w:t>PENAS OS ITENS REMANESCENTES, OS</w:t>
      </w:r>
      <w:r w:rsidRPr="0097052F">
        <w:rPr>
          <w:rFonts w:ascii="Arial" w:hAnsi="Arial" w:cs="Arial"/>
          <w:color w:val="FF0000"/>
          <w:sz w:val="24"/>
          <w:szCs w:val="24"/>
        </w:rPr>
        <w:t xml:space="preserve"> DEMAIS PODEM SER DESCONS</w:t>
      </w:r>
      <w:r>
        <w:rPr>
          <w:rFonts w:ascii="Arial" w:hAnsi="Arial" w:cs="Arial"/>
          <w:color w:val="FF0000"/>
          <w:sz w:val="24"/>
          <w:szCs w:val="24"/>
        </w:rPr>
        <w:t>IDERADOS PARA FINS DE ORÇAMENTO.</w:t>
      </w:r>
    </w:p>
    <w:p w:rsidR="00BB0732" w:rsidRPr="00295246" w:rsidRDefault="00BB0732" w:rsidP="00707834">
      <w:pPr>
        <w:spacing w:after="120" w:line="276" w:lineRule="auto"/>
        <w:rPr>
          <w:rFonts w:ascii="Arial" w:hAnsi="Arial" w:cs="Arial"/>
          <w:color w:val="000000" w:themeColor="text1"/>
          <w:sz w:val="24"/>
          <w:szCs w:val="24"/>
        </w:rPr>
      </w:pPr>
    </w:p>
    <w:p w:rsidR="00992A3E" w:rsidRDefault="00992A3E"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104/2018 – Tomada de Preços 15</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104/2018 – Tomada de Preços 15</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Processo Licitatório nº. 104</w:t>
      </w:r>
      <w:r w:rsidR="00D0106F" w:rsidRPr="00295246">
        <w:rPr>
          <w:rFonts w:ascii="Arial" w:hAnsi="Arial" w:cs="Arial"/>
          <w:color w:val="000000" w:themeColor="text1"/>
          <w:sz w:val="24"/>
          <w:szCs w:val="24"/>
        </w:rPr>
        <w:t>/2018 Mo</w:t>
      </w:r>
      <w:r>
        <w:rPr>
          <w:rFonts w:ascii="Arial" w:hAnsi="Arial" w:cs="Arial"/>
          <w:color w:val="000000" w:themeColor="text1"/>
          <w:sz w:val="24"/>
          <w:szCs w:val="24"/>
        </w:rPr>
        <w:t>dalidade Tomada de Preços nº. 15</w:t>
      </w:r>
      <w:r w:rsidR="00D0106F"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portador da Cédula de Identidade RG nº ____________ e do CPF nº </w:t>
      </w:r>
      <w:r w:rsidRPr="00295246">
        <w:rPr>
          <w:rFonts w:ascii="Arial" w:eastAsia="Arial" w:hAnsi="Arial" w:cs="Arial"/>
          <w:color w:val="000000" w:themeColor="text1"/>
          <w:sz w:val="24"/>
          <w:szCs w:val="24"/>
        </w:rPr>
        <w:lastRenderedPageBreak/>
        <w:t>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nº. 104</w:t>
      </w:r>
      <w:r w:rsidRPr="00295246">
        <w:rPr>
          <w:rFonts w:ascii="Arial" w:hAnsi="Arial" w:cs="Arial"/>
          <w:color w:val="000000" w:themeColor="text1"/>
          <w:sz w:val="24"/>
          <w:szCs w:val="24"/>
        </w:rPr>
        <w:t>/2018 Mo</w:t>
      </w:r>
      <w:r w:rsidR="00C725F4">
        <w:rPr>
          <w:rFonts w:ascii="Arial" w:hAnsi="Arial" w:cs="Arial"/>
          <w:color w:val="000000" w:themeColor="text1"/>
          <w:sz w:val="24"/>
          <w:szCs w:val="24"/>
        </w:rPr>
        <w:t>dalidade Tomada de Preços nº. 15</w:t>
      </w:r>
      <w:r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___________________________________________ (razão social), inscrita no CNPJ sob o nº _________________/_____-___, sediada na _________________________________ (endereço completo), neste ato </w:t>
      </w:r>
      <w:r w:rsidRPr="00295246">
        <w:rPr>
          <w:rFonts w:ascii="Arial" w:hAnsi="Arial" w:cs="Arial"/>
          <w:color w:val="000000" w:themeColor="text1"/>
          <w:sz w:val="24"/>
          <w:szCs w:val="24"/>
        </w:rPr>
        <w:lastRenderedPageBreak/>
        <w:t>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0104</w:t>
      </w:r>
      <w:r w:rsidR="00D0106F" w:rsidRPr="00295246">
        <w:rPr>
          <w:rFonts w:ascii="Arial" w:hAnsi="Arial" w:cs="Arial"/>
          <w:color w:val="000000" w:themeColor="text1"/>
          <w:sz w:val="24"/>
          <w:szCs w:val="24"/>
        </w:rPr>
        <w:t>/2018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º. 15</w:t>
      </w:r>
      <w:r w:rsidR="00D0106F" w:rsidRPr="00295246">
        <w:rPr>
          <w:rFonts w:ascii="Arial" w:hAnsi="Arial" w:cs="Arial"/>
          <w:color w:val="000000" w:themeColor="text1"/>
          <w:sz w:val="24"/>
          <w:szCs w:val="24"/>
        </w:rPr>
        <w:t xml:space="preserve">/2018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0104</w:t>
      </w:r>
      <w:r w:rsidRPr="00295246">
        <w:rPr>
          <w:rFonts w:ascii="Arial" w:hAnsi="Arial" w:cs="Arial"/>
          <w:color w:val="000000" w:themeColor="text1"/>
          <w:sz w:val="24"/>
          <w:szCs w:val="24"/>
        </w:rPr>
        <w:t>/2018 Modalidade Tomada de Preços n</w:t>
      </w:r>
      <w:r>
        <w:rPr>
          <w:rFonts w:ascii="Arial" w:hAnsi="Arial" w:cs="Arial"/>
          <w:color w:val="000000" w:themeColor="text1"/>
          <w:sz w:val="24"/>
          <w:szCs w:val="24"/>
        </w:rPr>
        <w:t>º. 15</w:t>
      </w:r>
      <w:r w:rsidRPr="00295246">
        <w:rPr>
          <w:rFonts w:ascii="Arial" w:hAnsi="Arial" w:cs="Arial"/>
          <w:color w:val="000000" w:themeColor="text1"/>
          <w:sz w:val="24"/>
          <w:szCs w:val="24"/>
        </w:rPr>
        <w:t xml:space="preserve">/2018 </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15</w:t>
      </w:r>
      <w:r w:rsidRPr="00295246">
        <w:rPr>
          <w:rFonts w:ascii="Arial" w:hAnsi="Arial" w:cs="Arial"/>
          <w:color w:val="000000" w:themeColor="text1"/>
          <w:sz w:val="24"/>
          <w:szCs w:val="24"/>
        </w:rPr>
        <w:t>/2018,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9B5691" w:rsidRDefault="009B5691"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para a </w:t>
      </w:r>
      <w:r w:rsidRPr="00CD0559">
        <w:rPr>
          <w:rFonts w:ascii="Arial" w:hAnsi="Arial" w:cs="Arial"/>
          <w:color w:val="000000" w:themeColor="text1"/>
          <w:sz w:val="24"/>
          <w:szCs w:val="24"/>
        </w:rPr>
        <w:t>EXECUÇÃO DO PROJETO DE CON</w:t>
      </w:r>
      <w:r>
        <w:rPr>
          <w:rFonts w:ascii="Arial" w:hAnsi="Arial" w:cs="Arial"/>
          <w:color w:val="000000" w:themeColor="text1"/>
          <w:sz w:val="24"/>
          <w:szCs w:val="24"/>
        </w:rPr>
        <w:t>S</w:t>
      </w:r>
      <w:r w:rsidRPr="00CD0559">
        <w:rPr>
          <w:rFonts w:ascii="Arial" w:hAnsi="Arial" w:cs="Arial"/>
          <w:color w:val="000000" w:themeColor="text1"/>
          <w:sz w:val="24"/>
          <w:szCs w:val="24"/>
        </w:rPr>
        <w:t>TRUÇÃO DE QUADRA ESCOLAR COBERTA REFERENTE AO TERMO DE COMPROMISSO PAC 204348/2013,</w:t>
      </w:r>
      <w:r>
        <w:rPr>
          <w:rFonts w:ascii="Arial" w:hAnsi="Arial" w:cs="Arial"/>
          <w:color w:val="000000" w:themeColor="text1"/>
          <w:sz w:val="24"/>
          <w:szCs w:val="24"/>
        </w:rPr>
        <w:t xml:space="preserve"> CONVÊNIO FNDE NÚMERO 204348/2013,</w:t>
      </w:r>
      <w:r w:rsidRPr="00CD0559">
        <w:rPr>
          <w:rFonts w:ascii="Arial" w:hAnsi="Arial" w:cs="Arial"/>
          <w:color w:val="000000" w:themeColor="text1"/>
          <w:sz w:val="24"/>
          <w:szCs w:val="24"/>
        </w:rPr>
        <w:t xml:space="preserve"> CO</w:t>
      </w:r>
      <w:r>
        <w:rPr>
          <w:rFonts w:ascii="Arial" w:hAnsi="Arial" w:cs="Arial"/>
          <w:color w:val="000000" w:themeColor="text1"/>
          <w:sz w:val="24"/>
          <w:szCs w:val="24"/>
        </w:rPr>
        <w:t>NFORME PROJETOS, MEMORIAL DESCRI</w:t>
      </w:r>
      <w:r w:rsidRPr="00CD0559">
        <w:rPr>
          <w:rFonts w:ascii="Arial" w:hAnsi="Arial" w:cs="Arial"/>
          <w:color w:val="000000" w:themeColor="text1"/>
          <w:sz w:val="24"/>
          <w:szCs w:val="24"/>
        </w:rPr>
        <w:t>TIVO E DEMAIS ANEXOS AO EDITAL</w:t>
      </w:r>
      <w:r>
        <w:rPr>
          <w:rFonts w:ascii="Arial" w:hAnsi="Arial" w:cs="Arial"/>
          <w:color w:val="000000" w:themeColor="text1"/>
          <w:sz w:val="24"/>
          <w:szCs w:val="24"/>
        </w:rPr>
        <w:t>.</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Este Termo de Contrato vincula-se ao Instrumento Convocatório </w:t>
      </w:r>
      <w:r w:rsidRPr="00295246">
        <w:rPr>
          <w:rFonts w:ascii="Arial" w:hAnsi="Arial" w:cs="Arial"/>
          <w:i/>
          <w:color w:val="000000" w:themeColor="text1"/>
          <w:sz w:val="24"/>
          <w:szCs w:val="24"/>
        </w:rPr>
        <w:t>da Tomada de Preços</w:t>
      </w: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nº. 15/2018, Processo Licitatório nº. 104/2018</w:t>
      </w:r>
      <w:r w:rsidRPr="00295246">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lastRenderedPageBreak/>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4262D7">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591F">
        <w:rPr>
          <w:rFonts w:ascii="Arial" w:hAnsi="Arial" w:cs="Arial"/>
          <w:color w:val="000000" w:themeColor="text1"/>
          <w:sz w:val="24"/>
          <w:szCs w:val="24"/>
        </w:rPr>
        <w:t xml:space="preserve">io, para o exercício de 2018, </w:t>
      </w:r>
      <w:r w:rsidRPr="00295246">
        <w:rPr>
          <w:rFonts w:ascii="Arial" w:hAnsi="Arial" w:cs="Arial"/>
          <w:color w:val="000000" w:themeColor="text1"/>
          <w:sz w:val="24"/>
          <w:szCs w:val="24"/>
        </w:rPr>
        <w:t>na classificação abaixo:</w:t>
      </w:r>
    </w:p>
    <w:tbl>
      <w:tblPr>
        <w:tblStyle w:val="Tabelacomgrade"/>
        <w:tblW w:w="8930" w:type="dxa"/>
        <w:tblInd w:w="392" w:type="dxa"/>
        <w:tblLook w:val="04A0"/>
      </w:tblPr>
      <w:tblGrid>
        <w:gridCol w:w="1559"/>
        <w:gridCol w:w="1276"/>
        <w:gridCol w:w="2977"/>
        <w:gridCol w:w="3118"/>
      </w:tblGrid>
      <w:tr w:rsidR="00811E1A" w:rsidRPr="00295246" w:rsidTr="00AC2B9A">
        <w:tc>
          <w:tcPr>
            <w:tcW w:w="1559"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118"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811E1A" w:rsidRPr="00295246" w:rsidTr="00AC2B9A">
        <w:tc>
          <w:tcPr>
            <w:tcW w:w="1559" w:type="dxa"/>
          </w:tcPr>
          <w:p w:rsidR="00811E1A" w:rsidRPr="00295246" w:rsidRDefault="00DC591F" w:rsidP="00707834">
            <w:pPr>
              <w:rPr>
                <w:rFonts w:ascii="Arial" w:hAnsi="Arial" w:cs="Arial"/>
                <w:color w:val="000000" w:themeColor="text1"/>
                <w:sz w:val="24"/>
                <w:szCs w:val="24"/>
              </w:rPr>
            </w:pPr>
            <w:r>
              <w:rPr>
                <w:rFonts w:ascii="Arial" w:hAnsi="Arial" w:cs="Arial"/>
                <w:color w:val="000000" w:themeColor="text1"/>
                <w:sz w:val="24"/>
                <w:szCs w:val="24"/>
              </w:rPr>
              <w:t>45</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04.01</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3118"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lastRenderedPageBreak/>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Default="007B7CB0" w:rsidP="007B7CB0">
      <w:pPr>
        <w:pStyle w:val="Corpodetexto"/>
        <w:spacing w:before="120" w:after="120"/>
        <w:rPr>
          <w:rFonts w:ascii="Arial" w:hAnsi="Arial" w:cs="Arial"/>
          <w:b/>
          <w:color w:val="FF0000"/>
          <w:sz w:val="24"/>
        </w:rPr>
      </w:pPr>
      <w:r>
        <w:rPr>
          <w:rFonts w:ascii="Arial" w:hAnsi="Arial" w:cs="Arial"/>
          <w:b/>
          <w:color w:val="000000" w:themeColor="text1"/>
          <w:sz w:val="24"/>
        </w:rPr>
        <w:t xml:space="preserve">5.11 </w:t>
      </w:r>
      <w:r w:rsidRPr="00DC591F">
        <w:rPr>
          <w:rFonts w:ascii="Arial" w:hAnsi="Arial" w:cs="Arial"/>
          <w:b/>
          <w:color w:val="FF0000"/>
          <w:sz w:val="24"/>
        </w:rPr>
        <w:t>A referida obra é proveniente de Recursos Federais, para tanto qualquer tipo de pagamento, fica condicionada a liberação por parte do, FNDE, mediante evolução da obra, após inserção de boletim de medição, no sistema SIMEC e aprovação pela concedente.</w:t>
      </w:r>
    </w:p>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inexecutar total ou parcialmente qualquer das obrigações </w:t>
      </w:r>
      <w:r w:rsidRPr="00295246">
        <w:rPr>
          <w:rFonts w:ascii="Arial" w:hAnsi="Arial" w:cs="Arial"/>
          <w:color w:val="000000" w:themeColor="text1"/>
          <w:sz w:val="24"/>
          <w:szCs w:val="24"/>
        </w:rPr>
        <w:lastRenderedPageBreak/>
        <w:t>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lastRenderedPageBreak/>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lastRenderedPageBreak/>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D0106F"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0104/2018 Modalidade TP nº. 15</w:t>
      </w:r>
      <w:r w:rsidR="00D0106F"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97052F" w:rsidRDefault="0097052F"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0104/2018 Modalidade TP nº. 15</w:t>
      </w:r>
      <w:r w:rsidR="00A428BD" w:rsidRPr="00295246">
        <w:rPr>
          <w:rFonts w:ascii="Arial" w:hAnsi="Arial" w:cs="Arial"/>
          <w:color w:val="000000" w:themeColor="text1"/>
          <w:sz w:val="24"/>
          <w:szCs w:val="24"/>
        </w:rPr>
        <w:t xml:space="preserve">/2018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lastRenderedPageBreak/>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010</w:t>
      </w:r>
      <w:r w:rsidR="0097052F">
        <w:rPr>
          <w:rFonts w:ascii="Arial" w:hAnsi="Arial" w:cs="Arial"/>
          <w:color w:val="000000" w:themeColor="text1"/>
          <w:sz w:val="24"/>
          <w:szCs w:val="24"/>
        </w:rPr>
        <w:t>4/2018 Modalidade TP nº. 15</w:t>
      </w:r>
      <w:r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9D" w:rsidRDefault="0007049D" w:rsidP="009C4289">
      <w:pPr>
        <w:spacing w:line="240" w:lineRule="auto"/>
      </w:pPr>
      <w:r>
        <w:separator/>
      </w:r>
    </w:p>
  </w:endnote>
  <w:endnote w:type="continuationSeparator" w:id="0">
    <w:p w:rsidR="0007049D" w:rsidRDefault="0007049D"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4262D7" w:rsidP="00703DF8">
    <w:pPr>
      <w:pStyle w:val="Rodap"/>
      <w:jc w:val="center"/>
    </w:pPr>
    <w:r>
      <w:t>Fone: 49 3657-0223 CNPJ 01.612.847/0001-90</w:t>
    </w:r>
  </w:p>
  <w:p w:rsidR="004262D7" w:rsidRDefault="004262D7" w:rsidP="00703DF8">
    <w:pPr>
      <w:pStyle w:val="Rodap"/>
      <w:jc w:val="center"/>
    </w:pPr>
    <w:r>
      <w:t>Av. Tancredo Neves, 337 – Centro – Santa Terezinha do Progresso/SC – 89.983-000</w:t>
    </w:r>
  </w:p>
  <w:p w:rsidR="004262D7" w:rsidRPr="00703DF8" w:rsidRDefault="004262D7" w:rsidP="00703DF8">
    <w:pPr>
      <w:pStyle w:val="Rodap"/>
      <w:jc w:val="center"/>
      <w:rPr>
        <w:b/>
      </w:rPr>
    </w:pPr>
    <w:r>
      <w:rPr>
        <w:b/>
      </w:rPr>
      <w:t>www.staterezinhaprogresso.sc.gov.br</w:t>
    </w:r>
  </w:p>
  <w:p w:rsidR="004262D7" w:rsidRDefault="004262D7"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42711F">
      <w:rPr>
        <w:b/>
        <w:bCs/>
        <w:noProof/>
      </w:rPr>
      <w:t>1</w:t>
    </w:r>
    <w:r w:rsidRPr="00DE4919">
      <w:rPr>
        <w:b/>
        <w:bCs/>
      </w:rPr>
      <w:fldChar w:fldCharType="end"/>
    </w:r>
    <w:r w:rsidRPr="00DE4919">
      <w:t xml:space="preserve"> de </w:t>
    </w:r>
    <w:fldSimple w:instr="NUMPAGES  \* Arabic  \* MERGEFORMAT">
      <w:r w:rsidR="0042711F" w:rsidRPr="0042711F">
        <w:rPr>
          <w:b/>
          <w:bCs/>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9D" w:rsidRDefault="0007049D" w:rsidP="009C4289">
      <w:pPr>
        <w:spacing w:line="240" w:lineRule="auto"/>
      </w:pPr>
      <w:r>
        <w:separator/>
      </w:r>
    </w:p>
  </w:footnote>
  <w:footnote w:type="continuationSeparator" w:id="0">
    <w:p w:rsidR="0007049D" w:rsidRDefault="0007049D"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Pr="007B5E6C" w:rsidRDefault="004262D7"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4262D7" w:rsidRPr="007B5E6C" w:rsidRDefault="004262D7" w:rsidP="00DE4919">
    <w:pPr>
      <w:pStyle w:val="Cabealho"/>
      <w:tabs>
        <w:tab w:val="left" w:pos="2127"/>
      </w:tabs>
      <w:ind w:left="2124"/>
      <w:jc w:val="center"/>
      <w:rPr>
        <w:sz w:val="24"/>
        <w:szCs w:val="24"/>
      </w:rPr>
    </w:pPr>
    <w:r w:rsidRPr="007B5E6C">
      <w:rPr>
        <w:sz w:val="24"/>
        <w:szCs w:val="24"/>
      </w:rPr>
      <w:t>PODER EXECUTIVO MUNICIPAL</w:t>
    </w:r>
  </w:p>
  <w:p w:rsidR="004262D7" w:rsidRDefault="004262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73730"/>
  </w:hdrShapeDefaults>
  <w:footnotePr>
    <w:footnote w:id="-1"/>
    <w:footnote w:id="0"/>
  </w:footnotePr>
  <w:endnotePr>
    <w:endnote w:id="-1"/>
    <w:endnote w:id="0"/>
  </w:endnotePr>
  <w:compat/>
  <w:rsids>
    <w:rsidRoot w:val="009C4289"/>
    <w:rsid w:val="00004D28"/>
    <w:rsid w:val="00006708"/>
    <w:rsid w:val="00031184"/>
    <w:rsid w:val="00047BE0"/>
    <w:rsid w:val="0005451E"/>
    <w:rsid w:val="0007049D"/>
    <w:rsid w:val="00083BD5"/>
    <w:rsid w:val="000853F2"/>
    <w:rsid w:val="000A374D"/>
    <w:rsid w:val="000B5D86"/>
    <w:rsid w:val="000C77C7"/>
    <w:rsid w:val="000D1592"/>
    <w:rsid w:val="000D3188"/>
    <w:rsid w:val="000E2736"/>
    <w:rsid w:val="000E5671"/>
    <w:rsid w:val="000E5D63"/>
    <w:rsid w:val="000F5465"/>
    <w:rsid w:val="00112BF3"/>
    <w:rsid w:val="0011610F"/>
    <w:rsid w:val="00116705"/>
    <w:rsid w:val="00123A66"/>
    <w:rsid w:val="00126BD5"/>
    <w:rsid w:val="001325DE"/>
    <w:rsid w:val="00153482"/>
    <w:rsid w:val="001969C5"/>
    <w:rsid w:val="00196CB6"/>
    <w:rsid w:val="00196F3D"/>
    <w:rsid w:val="001A4E1C"/>
    <w:rsid w:val="001C6572"/>
    <w:rsid w:val="001D2021"/>
    <w:rsid w:val="001E3F58"/>
    <w:rsid w:val="001E7A94"/>
    <w:rsid w:val="001F6199"/>
    <w:rsid w:val="0020577A"/>
    <w:rsid w:val="002118D3"/>
    <w:rsid w:val="00213DD6"/>
    <w:rsid w:val="00216165"/>
    <w:rsid w:val="00224125"/>
    <w:rsid w:val="00232DD6"/>
    <w:rsid w:val="00260CEC"/>
    <w:rsid w:val="002651C7"/>
    <w:rsid w:val="0029265B"/>
    <w:rsid w:val="002932B0"/>
    <w:rsid w:val="00295246"/>
    <w:rsid w:val="002A2FB8"/>
    <w:rsid w:val="002A35AB"/>
    <w:rsid w:val="002B032D"/>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262D7"/>
    <w:rsid w:val="0042711F"/>
    <w:rsid w:val="0047026E"/>
    <w:rsid w:val="00483AD2"/>
    <w:rsid w:val="0049379D"/>
    <w:rsid w:val="004954C4"/>
    <w:rsid w:val="00496297"/>
    <w:rsid w:val="004A5CFB"/>
    <w:rsid w:val="004B4585"/>
    <w:rsid w:val="004B5174"/>
    <w:rsid w:val="004C129B"/>
    <w:rsid w:val="004C4605"/>
    <w:rsid w:val="004C469F"/>
    <w:rsid w:val="004D68AE"/>
    <w:rsid w:val="004E33E5"/>
    <w:rsid w:val="004E35D8"/>
    <w:rsid w:val="00501E03"/>
    <w:rsid w:val="00510F12"/>
    <w:rsid w:val="005205B6"/>
    <w:rsid w:val="00526C69"/>
    <w:rsid w:val="00544915"/>
    <w:rsid w:val="00555C9C"/>
    <w:rsid w:val="00592558"/>
    <w:rsid w:val="005A13D9"/>
    <w:rsid w:val="005B363F"/>
    <w:rsid w:val="005B588F"/>
    <w:rsid w:val="005C6F8B"/>
    <w:rsid w:val="005D0536"/>
    <w:rsid w:val="005D7A8B"/>
    <w:rsid w:val="00622FAF"/>
    <w:rsid w:val="00626B12"/>
    <w:rsid w:val="006533BA"/>
    <w:rsid w:val="00660FE2"/>
    <w:rsid w:val="006621F3"/>
    <w:rsid w:val="00666E83"/>
    <w:rsid w:val="0067003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529EF"/>
    <w:rsid w:val="00765731"/>
    <w:rsid w:val="00790B85"/>
    <w:rsid w:val="0079606A"/>
    <w:rsid w:val="007A1E3A"/>
    <w:rsid w:val="007B5E6C"/>
    <w:rsid w:val="007B7CB0"/>
    <w:rsid w:val="007C6F7B"/>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E2E9D"/>
    <w:rsid w:val="008E2EF2"/>
    <w:rsid w:val="009043DC"/>
    <w:rsid w:val="009228B2"/>
    <w:rsid w:val="0097052F"/>
    <w:rsid w:val="00972E41"/>
    <w:rsid w:val="0097305E"/>
    <w:rsid w:val="00992A3E"/>
    <w:rsid w:val="00992DF6"/>
    <w:rsid w:val="00997A07"/>
    <w:rsid w:val="009B331E"/>
    <w:rsid w:val="009B5691"/>
    <w:rsid w:val="009C4289"/>
    <w:rsid w:val="009C63F8"/>
    <w:rsid w:val="009D35BF"/>
    <w:rsid w:val="009E5916"/>
    <w:rsid w:val="009F2EF3"/>
    <w:rsid w:val="00A13DB1"/>
    <w:rsid w:val="00A40F9C"/>
    <w:rsid w:val="00A428BD"/>
    <w:rsid w:val="00A54862"/>
    <w:rsid w:val="00A61D90"/>
    <w:rsid w:val="00A62DB2"/>
    <w:rsid w:val="00A70BBE"/>
    <w:rsid w:val="00A72338"/>
    <w:rsid w:val="00A72EC0"/>
    <w:rsid w:val="00A83971"/>
    <w:rsid w:val="00A96CE0"/>
    <w:rsid w:val="00AA0B53"/>
    <w:rsid w:val="00AA1EBE"/>
    <w:rsid w:val="00AA2DEF"/>
    <w:rsid w:val="00AA6AA3"/>
    <w:rsid w:val="00AB1720"/>
    <w:rsid w:val="00AB1A23"/>
    <w:rsid w:val="00AB47C4"/>
    <w:rsid w:val="00AC2B9A"/>
    <w:rsid w:val="00AD115B"/>
    <w:rsid w:val="00AD741F"/>
    <w:rsid w:val="00AF1D03"/>
    <w:rsid w:val="00B16A97"/>
    <w:rsid w:val="00B2064C"/>
    <w:rsid w:val="00B33F44"/>
    <w:rsid w:val="00B35730"/>
    <w:rsid w:val="00B55334"/>
    <w:rsid w:val="00B5632A"/>
    <w:rsid w:val="00B643F0"/>
    <w:rsid w:val="00B75CD7"/>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55FE9"/>
    <w:rsid w:val="00C622A9"/>
    <w:rsid w:val="00C725F4"/>
    <w:rsid w:val="00C77544"/>
    <w:rsid w:val="00C965C1"/>
    <w:rsid w:val="00CC2119"/>
    <w:rsid w:val="00CC2A49"/>
    <w:rsid w:val="00CD0559"/>
    <w:rsid w:val="00D0106F"/>
    <w:rsid w:val="00D15FE7"/>
    <w:rsid w:val="00D3317B"/>
    <w:rsid w:val="00D47DF2"/>
    <w:rsid w:val="00D6509D"/>
    <w:rsid w:val="00D65C84"/>
    <w:rsid w:val="00D70F94"/>
    <w:rsid w:val="00D74729"/>
    <w:rsid w:val="00D94EBA"/>
    <w:rsid w:val="00DA2553"/>
    <w:rsid w:val="00DA4D1F"/>
    <w:rsid w:val="00DC591F"/>
    <w:rsid w:val="00DD3559"/>
    <w:rsid w:val="00DD695C"/>
    <w:rsid w:val="00DE4919"/>
    <w:rsid w:val="00DF01B7"/>
    <w:rsid w:val="00DF21F4"/>
    <w:rsid w:val="00DF2A51"/>
    <w:rsid w:val="00E0101C"/>
    <w:rsid w:val="00E0381E"/>
    <w:rsid w:val="00E107C1"/>
    <w:rsid w:val="00E364D1"/>
    <w:rsid w:val="00E4629F"/>
    <w:rsid w:val="00E46535"/>
    <w:rsid w:val="00E47CD6"/>
    <w:rsid w:val="00E616FE"/>
    <w:rsid w:val="00E720B8"/>
    <w:rsid w:val="00E9229D"/>
    <w:rsid w:val="00EA6880"/>
    <w:rsid w:val="00EB655E"/>
    <w:rsid w:val="00EC1FE0"/>
    <w:rsid w:val="00ED0F5B"/>
    <w:rsid w:val="00ED576B"/>
    <w:rsid w:val="00EE16A1"/>
    <w:rsid w:val="00EE6F0B"/>
    <w:rsid w:val="00F008EB"/>
    <w:rsid w:val="00F03E2E"/>
    <w:rsid w:val="00F41451"/>
    <w:rsid w:val="00F41BA8"/>
    <w:rsid w:val="00F61549"/>
    <w:rsid w:val="00F642D5"/>
    <w:rsid w:val="00F86E95"/>
    <w:rsid w:val="00F90BF9"/>
    <w:rsid w:val="00F93E76"/>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009B-21F8-447F-B777-8372040F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41</Pages>
  <Words>11010</Words>
  <Characters>59455</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2018-11-06T17:05:00Z</cp:lastPrinted>
  <dcterms:created xsi:type="dcterms:W3CDTF">2018-11-03T12:24:00Z</dcterms:created>
  <dcterms:modified xsi:type="dcterms:W3CDTF">2018-11-06T18:42:00Z</dcterms:modified>
</cp:coreProperties>
</file>