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707834">
      <w:pPr>
        <w:spacing w:after="120" w:line="276" w:lineRule="auto"/>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2118D3" w:rsidRPr="00295246">
        <w:rPr>
          <w:rFonts w:ascii="Arial" w:hAnsi="Arial" w:cs="Arial"/>
          <w:b/>
          <w:bCs/>
          <w:color w:val="000000" w:themeColor="text1"/>
          <w:sz w:val="24"/>
          <w:szCs w:val="24"/>
        </w:rPr>
        <w:t xml:space="preserve"> LICITATÓRIO Nº. 103</w:t>
      </w:r>
      <w:r w:rsidR="00D0106F" w:rsidRPr="00295246">
        <w:rPr>
          <w:rFonts w:ascii="Arial" w:hAnsi="Arial" w:cs="Arial"/>
          <w:b/>
          <w:bCs/>
          <w:color w:val="000000" w:themeColor="text1"/>
          <w:sz w:val="24"/>
          <w:szCs w:val="24"/>
        </w:rPr>
        <w:t>/2018</w:t>
      </w:r>
    </w:p>
    <w:p w:rsidR="00D0106F" w:rsidRPr="00295246" w:rsidRDefault="002118D3" w:rsidP="00707834">
      <w:pPr>
        <w:spacing w:after="120" w:line="276" w:lineRule="auto"/>
        <w:rPr>
          <w:rFonts w:ascii="Arial" w:hAnsi="Arial" w:cs="Arial"/>
          <w:b/>
          <w:bCs/>
          <w:color w:val="000000" w:themeColor="text1"/>
          <w:sz w:val="24"/>
          <w:szCs w:val="24"/>
        </w:rPr>
      </w:pPr>
      <w:r w:rsidRPr="00295246">
        <w:rPr>
          <w:rFonts w:ascii="Arial" w:hAnsi="Arial" w:cs="Arial"/>
          <w:b/>
          <w:bCs/>
          <w:color w:val="000000" w:themeColor="text1"/>
          <w:sz w:val="24"/>
          <w:szCs w:val="24"/>
        </w:rPr>
        <w:t>TOMADA DE PREÇOS 14</w:t>
      </w:r>
      <w:r w:rsidR="00D0106F" w:rsidRPr="00295246">
        <w:rPr>
          <w:rFonts w:ascii="Arial" w:hAnsi="Arial" w:cs="Arial"/>
          <w:b/>
          <w:bCs/>
          <w:color w:val="000000" w:themeColor="text1"/>
          <w:sz w:val="24"/>
          <w:szCs w:val="24"/>
        </w:rPr>
        <w:t>/2018</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707834">
      <w:pPr>
        <w:numPr>
          <w:ilvl w:val="0"/>
          <w:numId w:val="1"/>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2118D3"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Até às 08:00 horas, do dia 12</w:t>
      </w:r>
      <w:r w:rsidR="00D0106F" w:rsidRPr="00295246">
        <w:rPr>
          <w:rFonts w:ascii="Arial" w:hAnsi="Arial" w:cs="Arial"/>
          <w:color w:val="000000" w:themeColor="text1"/>
        </w:rPr>
        <w:t xml:space="preserve"> de novembro de 2018, no endereço Av. Tancredo Neves, 337, Centro, Santa Terezinha do Progresso – SC, para entrega dos Envelopes n° 01, com os documentos de habilitação, e n. 02, com a proposta, além das declarações complementares.</w:t>
      </w:r>
    </w:p>
    <w:p w:rsidR="00D0106F" w:rsidRPr="00295246" w:rsidRDefault="00D0106F" w:rsidP="00707834">
      <w:pPr>
        <w:numPr>
          <w:ilvl w:val="0"/>
          <w:numId w:val="1"/>
        </w:numPr>
        <w:spacing w:before="120"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2118D3"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Às 08:00 horas, do dia 12</w:t>
      </w:r>
      <w:r w:rsidR="00D0106F" w:rsidRPr="00295246">
        <w:rPr>
          <w:rFonts w:ascii="Arial" w:hAnsi="Arial" w:cs="Arial"/>
          <w:color w:val="000000" w:themeColor="text1"/>
          <w:sz w:val="24"/>
          <w:szCs w:val="24"/>
        </w:rPr>
        <w:t xml:space="preserve"> de novembro de 2018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707834">
            <w:pPr>
              <w:tabs>
                <w:tab w:val="left" w:pos="7811"/>
              </w:tabs>
              <w:spacing w:after="120" w:line="276" w:lineRule="auto"/>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2118D3"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TOMADA DE PREÇOS Nº: 14</w:t>
            </w:r>
            <w:r w:rsidR="00D0106F" w:rsidRPr="00295246">
              <w:rPr>
                <w:rFonts w:ascii="Arial" w:hAnsi="Arial" w:cs="Arial"/>
                <w:color w:val="000000" w:themeColor="text1"/>
                <w:sz w:val="24"/>
                <w:szCs w:val="24"/>
              </w:rPr>
              <w:t>/2018</w:t>
            </w: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707834">
            <w:pPr>
              <w:tabs>
                <w:tab w:val="left" w:pos="7797"/>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707834">
            <w:pPr>
              <w:tabs>
                <w:tab w:val="left" w:pos="7811"/>
              </w:tabs>
              <w:spacing w:after="120" w:line="276" w:lineRule="auto"/>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2118D3"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TOMADA DE PREÇOS Nº 14</w:t>
            </w:r>
            <w:r w:rsidR="00D0106F" w:rsidRPr="00295246">
              <w:rPr>
                <w:rFonts w:ascii="Arial" w:hAnsi="Arial" w:cs="Arial"/>
                <w:color w:val="000000" w:themeColor="text1"/>
                <w:sz w:val="24"/>
                <w:szCs w:val="24"/>
              </w:rPr>
              <w:t>/2018</w:t>
            </w:r>
          </w:p>
          <w:p w:rsidR="00D0106F" w:rsidRPr="00295246" w:rsidRDefault="00D0106F" w:rsidP="00707834">
            <w:pPr>
              <w:tabs>
                <w:tab w:val="left" w:pos="7811"/>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707834">
            <w:pPr>
              <w:tabs>
                <w:tab w:val="left" w:pos="7797"/>
              </w:tabs>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numPr>
          <w:ilvl w:val="0"/>
          <w:numId w:val="1"/>
        </w:numPr>
        <w:spacing w:before="120"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DO REPRESENTANTE E DO CREDENCIAMENTO</w:t>
      </w:r>
    </w:p>
    <w:p w:rsidR="00AA1EBE" w:rsidRPr="00295246" w:rsidRDefault="00D0106F"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72338"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 xml:space="preserve"> 3.1.1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w:t>
      </w:r>
      <w:r w:rsidR="00D0106F" w:rsidRPr="00295246">
        <w:rPr>
          <w:rFonts w:ascii="Arial" w:hAnsi="Arial" w:cs="Arial"/>
          <w:color w:val="000000" w:themeColor="text1"/>
          <w:sz w:val="24"/>
          <w:szCs w:val="24"/>
        </w:rPr>
        <w:lastRenderedPageBreak/>
        <w:t>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A1EBE" w:rsidP="00707834">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 3.2.1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D0106F"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Cada representante legal/credenciado deverá representar apenas uma empresa licitante.</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widowControl w:val="0"/>
        <w:numPr>
          <w:ilvl w:val="0"/>
          <w:numId w:val="1"/>
        </w:numPr>
        <w:suppressAutoHyphens/>
        <w:spacing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OBJETO</w:t>
      </w:r>
    </w:p>
    <w:p w:rsidR="00D0106F" w:rsidRPr="00295246" w:rsidRDefault="00D0106F"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para a </w:t>
      </w:r>
      <w:r w:rsidR="002118D3" w:rsidRPr="00295246">
        <w:rPr>
          <w:rFonts w:ascii="Arial" w:hAnsi="Arial" w:cs="Arial"/>
          <w:color w:val="000000" w:themeColor="text1"/>
          <w:sz w:val="24"/>
          <w:szCs w:val="24"/>
        </w:rPr>
        <w:t xml:space="preserve">CONTRATAÇÃO DE EMPRESA PARA EXECUÇÃO DA REFORMA DO NÚCLEO ESCOLAR MUNDO NOVO, CONFORME PROJETO, MEMORIAL DESCRITIVO, ORÇAMENTO E DEMAIS ANEXOS DESTE EDITAL, </w:t>
      </w:r>
      <w:r w:rsidRPr="00295246">
        <w:rPr>
          <w:rFonts w:ascii="Arial" w:hAnsi="Arial" w:cs="Arial"/>
          <w:color w:val="000000" w:themeColor="text1"/>
          <w:sz w:val="24"/>
          <w:szCs w:val="24"/>
        </w:rPr>
        <w:t xml:space="preserve">mediante o regime empreitada por </w:t>
      </w:r>
      <w:r w:rsidRPr="00295246">
        <w:rPr>
          <w:rFonts w:ascii="Arial" w:hAnsi="Arial" w:cs="Arial"/>
          <w:i/>
          <w:color w:val="000000" w:themeColor="text1"/>
          <w:sz w:val="24"/>
          <w:szCs w:val="24"/>
        </w:rPr>
        <w:t>preço global,</w:t>
      </w:r>
      <w:r w:rsidRPr="00295246">
        <w:rPr>
          <w:rFonts w:ascii="Arial" w:hAnsi="Arial" w:cs="Arial"/>
          <w:color w:val="000000" w:themeColor="text1"/>
          <w:sz w:val="24"/>
          <w:szCs w:val="24"/>
        </w:rPr>
        <w:t xml:space="preserve"> conforme especificações constantes no Memorial Descritivo </w:t>
      </w:r>
      <w:r w:rsidR="002118D3" w:rsidRPr="00295246">
        <w:rPr>
          <w:rFonts w:ascii="Arial" w:hAnsi="Arial" w:cs="Arial"/>
          <w:color w:val="000000" w:themeColor="text1"/>
          <w:sz w:val="24"/>
          <w:szCs w:val="24"/>
        </w:rPr>
        <w:t xml:space="preserve">e demais documentos </w:t>
      </w:r>
      <w:r w:rsidRPr="00295246">
        <w:rPr>
          <w:rFonts w:ascii="Arial" w:hAnsi="Arial" w:cs="Arial"/>
          <w:color w:val="000000" w:themeColor="text1"/>
          <w:sz w:val="24"/>
          <w:szCs w:val="24"/>
        </w:rPr>
        <w:t>–</w:t>
      </w:r>
      <w:r w:rsidR="002118D3" w:rsidRPr="00295246">
        <w:rPr>
          <w:rFonts w:ascii="Arial" w:hAnsi="Arial" w:cs="Arial"/>
          <w:color w:val="000000" w:themeColor="text1"/>
          <w:sz w:val="24"/>
          <w:szCs w:val="24"/>
        </w:rPr>
        <w:t xml:space="preserve"> </w:t>
      </w:r>
      <w:r w:rsidRPr="00295246">
        <w:rPr>
          <w:rFonts w:ascii="Arial" w:hAnsi="Arial" w:cs="Arial"/>
          <w:color w:val="000000" w:themeColor="text1"/>
          <w:sz w:val="24"/>
          <w:szCs w:val="24"/>
        </w:rPr>
        <w:t>que é parte integrante deste Edital.</w:t>
      </w:r>
    </w:p>
    <w:p w:rsidR="00D0106F" w:rsidRPr="00295246" w:rsidRDefault="00D0106F" w:rsidP="00295246">
      <w:pPr>
        <w:pStyle w:val="PargrafodaLista"/>
        <w:widowControl w:val="0"/>
        <w:numPr>
          <w:ilvl w:val="2"/>
          <w:numId w:val="13"/>
        </w:numPr>
        <w:spacing w:before="120" w:after="120" w:line="276" w:lineRule="auto"/>
        <w:rPr>
          <w:rFonts w:ascii="Arial" w:hAnsi="Arial" w:cs="Arial"/>
          <w:i/>
          <w:color w:val="000000" w:themeColor="text1"/>
        </w:rPr>
      </w:pPr>
      <w:r w:rsidRPr="00295246">
        <w:rPr>
          <w:rFonts w:ascii="Arial" w:hAnsi="Arial" w:cs="Arial"/>
          <w:i/>
          <w:color w:val="000000" w:themeColor="text1"/>
        </w:rPr>
        <w:t>A licitação compõe-se de item único,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295246">
      <w:pPr>
        <w:numPr>
          <w:ilvl w:val="2"/>
          <w:numId w:val="14"/>
        </w:numPr>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As despesas para atender a esta licitação estão programadas em dotação orçamentária própria, prevista no orçamento do Município para o exercício de 2018 na classificação abaixo:</w:t>
      </w:r>
    </w:p>
    <w:tbl>
      <w:tblPr>
        <w:tblStyle w:val="Tabelacomgrade"/>
        <w:tblW w:w="0" w:type="auto"/>
        <w:tblInd w:w="792" w:type="dxa"/>
        <w:tblLook w:val="04A0"/>
      </w:tblPr>
      <w:tblGrid>
        <w:gridCol w:w="1044"/>
        <w:gridCol w:w="1155"/>
        <w:gridCol w:w="2865"/>
        <w:gridCol w:w="2864"/>
      </w:tblGrid>
      <w:tr w:rsidR="00D0106F" w:rsidRPr="00295246" w:rsidTr="002118D3">
        <w:tc>
          <w:tcPr>
            <w:tcW w:w="104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15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rsidTr="002118D3">
        <w:tc>
          <w:tcPr>
            <w:tcW w:w="1044" w:type="dxa"/>
          </w:tcPr>
          <w:p w:rsidR="00D0106F" w:rsidRPr="00295246" w:rsidRDefault="002118D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57</w:t>
            </w:r>
          </w:p>
        </w:tc>
        <w:tc>
          <w:tcPr>
            <w:tcW w:w="1155" w:type="dxa"/>
          </w:tcPr>
          <w:p w:rsidR="00D0106F" w:rsidRPr="00295246" w:rsidRDefault="002118D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04.01</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Poderão participar desta licitação, </w:t>
      </w:r>
      <w:r w:rsidR="000D1592" w:rsidRPr="00295246">
        <w:rPr>
          <w:rFonts w:ascii="Arial" w:hAnsi="Arial" w:cs="Arial"/>
          <w:bCs/>
          <w:color w:val="000000" w:themeColor="text1"/>
          <w:sz w:val="24"/>
          <w:szCs w:val="24"/>
        </w:rPr>
        <w:t xml:space="preserve">exclusivamente ME e EPP </w:t>
      </w:r>
      <w:r w:rsidRPr="00295246">
        <w:rPr>
          <w:rFonts w:ascii="Arial" w:hAnsi="Arial" w:cs="Arial"/>
          <w:bCs/>
          <w:color w:val="000000" w:themeColor="text1"/>
          <w:sz w:val="24"/>
          <w:szCs w:val="24"/>
        </w:rPr>
        <w:t xml:space="preserve"> cujo ramo de atividade seja compatível com o objeto desta licitação.</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D0106F" w:rsidRPr="00295246" w:rsidTr="00D0106F">
        <w:tc>
          <w:tcPr>
            <w:tcW w:w="8000" w:type="dxa"/>
            <w:tcBorders>
              <w:top w:val="nil"/>
              <w:left w:val="nil"/>
              <w:bottom w:val="nil"/>
              <w:right w:val="nil"/>
            </w:tcBorders>
          </w:tcPr>
          <w:p w:rsidR="00D0106F" w:rsidRPr="00295246" w:rsidRDefault="00D0106F" w:rsidP="00707834">
            <w:pPr>
              <w:spacing w:after="120" w:line="276" w:lineRule="auto"/>
              <w:rPr>
                <w:rFonts w:ascii="Arial" w:hAnsi="Arial" w:cs="Arial"/>
                <w:i/>
                <w:color w:val="000000" w:themeColor="text1"/>
                <w:sz w:val="24"/>
                <w:szCs w:val="24"/>
              </w:rPr>
            </w:pPr>
          </w:p>
        </w:tc>
      </w:tr>
    </w:tbl>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microempresas e empresas de pequeno porte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As licitantes não detentoras do Certificado de Registro Cadastral perante o Município, deverão encaminhar para a Comissão de Licitação a </w:t>
      </w:r>
      <w:r w:rsidRPr="00295246">
        <w:rPr>
          <w:rFonts w:ascii="Arial" w:hAnsi="Arial" w:cs="Arial"/>
          <w:bCs/>
          <w:color w:val="000000" w:themeColor="text1"/>
          <w:sz w:val="24"/>
          <w:szCs w:val="24"/>
        </w:rPr>
        <w:lastRenderedPageBreak/>
        <w:t>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0D1592" w:rsidRPr="00295246" w:rsidRDefault="000D1592" w:rsidP="00707834">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7.3.3.1.3</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 xml:space="preserve">Declaração de que não utiliza de mão de obra direta ou indireta de menores de 18 (dezoito) anos em trabalho noturno, perigoso ou insalubre e de qualquer trabalho a menores de 16 (dezesseis) anos, salvo na condição de </w:t>
      </w:r>
      <w:r w:rsidRPr="00295246">
        <w:rPr>
          <w:rFonts w:ascii="Arial" w:hAnsi="Arial" w:cs="Arial"/>
          <w:bCs/>
          <w:iCs/>
          <w:color w:val="000000" w:themeColor="text1"/>
        </w:rPr>
        <w:lastRenderedPageBreak/>
        <w:t>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spacing w:before="120" w:after="120" w:line="276" w:lineRule="auto"/>
        <w:rPr>
          <w:rFonts w:ascii="Arial" w:hAnsi="Arial" w:cs="Arial"/>
          <w:i/>
          <w:color w:val="000000" w:themeColor="text1"/>
          <w:sz w:val="24"/>
          <w:szCs w:val="24"/>
        </w:rPr>
      </w:pP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707834">
      <w:pPr>
        <w:widowControl w:val="0"/>
        <w:numPr>
          <w:ilvl w:val="0"/>
          <w:numId w:val="7"/>
        </w:numPr>
        <w:suppressAutoHyphens/>
        <w:spacing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295246" w:rsidRDefault="00D0106F" w:rsidP="00707834">
      <w:pPr>
        <w:pStyle w:val="PargrafodaLista"/>
        <w:numPr>
          <w:ilvl w:val="1"/>
          <w:numId w:val="4"/>
        </w:numPr>
        <w:suppressAutoHyphens w:val="0"/>
        <w:spacing w:before="120" w:after="120" w:line="276" w:lineRule="auto"/>
        <w:ind w:left="0"/>
        <w:contextualSpacing w:val="0"/>
        <w:rPr>
          <w:rFonts w:ascii="Arial" w:hAnsi="Arial" w:cs="Arial"/>
          <w:color w:val="000000" w:themeColor="text1"/>
        </w:rPr>
      </w:pPr>
      <w:r w:rsidRPr="00295246">
        <w:rPr>
          <w:rFonts w:ascii="Arial" w:hAnsi="Arial" w:cs="Arial"/>
          <w:color w:val="000000" w:themeColor="text1"/>
        </w:rPr>
        <w:t xml:space="preserve"> </w:t>
      </w:r>
      <w:r w:rsidR="00707834" w:rsidRPr="00295246">
        <w:rPr>
          <w:rFonts w:ascii="Arial" w:hAnsi="Arial" w:cs="Arial"/>
          <w:color w:val="000000" w:themeColor="text1"/>
        </w:rPr>
        <w:t xml:space="preserve">     </w:t>
      </w:r>
      <w:r w:rsidRPr="00295246">
        <w:rPr>
          <w:rFonts w:ascii="Arial" w:hAnsi="Arial" w:cs="Arial"/>
          <w:color w:val="000000" w:themeColor="text1"/>
        </w:rPr>
        <w:t xml:space="preserve">A proposta, apresentada no envelope nº 2, </w:t>
      </w:r>
      <w:r w:rsidR="00707834" w:rsidRPr="00295246">
        <w:rPr>
          <w:rFonts w:ascii="Arial" w:hAnsi="Arial" w:cs="Arial"/>
          <w:color w:val="000000" w:themeColor="text1"/>
        </w:rPr>
        <w:t>será redigida no idioma pátrio,</w:t>
      </w:r>
      <w:r w:rsidRPr="00295246">
        <w:rPr>
          <w:rFonts w:ascii="Arial" w:hAnsi="Arial" w:cs="Arial"/>
          <w:color w:val="000000" w:themeColor="text1"/>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D0106F" w:rsidP="00707834">
      <w:pPr>
        <w:pStyle w:val="PargrafodaLista"/>
        <w:widowControl w:val="0"/>
        <w:numPr>
          <w:ilvl w:val="3"/>
          <w:numId w:val="31"/>
        </w:numPr>
        <w:tabs>
          <w:tab w:val="left" w:pos="993"/>
        </w:tabs>
        <w:spacing w:before="120" w:after="120" w:line="276" w:lineRule="auto"/>
        <w:ind w:left="0"/>
        <w:contextualSpacing w:val="0"/>
        <w:rPr>
          <w:rFonts w:ascii="Arial" w:hAnsi="Arial" w:cs="Arial"/>
          <w:color w:val="000000" w:themeColor="text1"/>
        </w:rPr>
      </w:pPr>
      <w:r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295246"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Na composição dos preços unitários, o licitante deverá apresentar discriminadamente as parcelas relativas à mão de obra, materiais, equipamentos e serviços.</w:t>
      </w:r>
      <w:r w:rsidRPr="00295246">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i/>
          <w:color w:val="000000" w:themeColor="text1"/>
        </w:rPr>
        <w:t>Quando se tratar de cooperativa de serviço, a licitante incluirá na proposta o valor correspondente ao percentual de que trata o art. 22, inciso IV, da Lei nº 8.212, de 24.07.91, com a redação da Lei nº 9.876, de 26.11.99, também referido no art. 72 da Instrução Normativa/RFB Nº 971, de 13 de novembro de 2009 (DOU 17.11.2009).</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lastRenderedPageBreak/>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detalhando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295246" w:rsidRDefault="00D0106F" w:rsidP="00707834">
      <w:pPr>
        <w:pStyle w:val="Corpodetexto"/>
        <w:widowControl w:val="0"/>
        <w:numPr>
          <w:ilvl w:val="3"/>
          <w:numId w:val="31"/>
        </w:numPr>
        <w:suppressAutoHyphens/>
        <w:spacing w:before="120" w:after="120" w:line="276" w:lineRule="auto"/>
        <w:ind w:left="0" w:firstLine="0"/>
        <w:rPr>
          <w:rFonts w:ascii="Arial" w:hAnsi="Arial" w:cs="Arial"/>
          <w:bCs/>
          <w:i/>
          <w:iCs/>
          <w:color w:val="000000" w:themeColor="text1"/>
          <w:sz w:val="24"/>
        </w:rPr>
      </w:pPr>
      <w:r w:rsidRPr="00295246">
        <w:rPr>
          <w:rStyle w:val="Manoel"/>
          <w:i/>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295246">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D0106F" w:rsidRPr="00295246" w:rsidRDefault="00D0106F" w:rsidP="00707834">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295246">
      <w:pPr>
        <w:pStyle w:val="Nivel2"/>
        <w:numPr>
          <w:ilvl w:val="0"/>
          <w:numId w:val="0"/>
        </w:numPr>
        <w:ind w:left="426"/>
        <w:rPr>
          <w:rFonts w:ascii="Arial" w:hAnsi="Arial" w:cs="Arial"/>
          <w:color w:val="000000" w:themeColor="text1"/>
          <w:sz w:val="24"/>
          <w:szCs w:val="24"/>
        </w:rPr>
      </w:pPr>
      <w:r w:rsidRPr="00295246">
        <w:rPr>
          <w:rFonts w:ascii="Arial" w:hAnsi="Arial" w:cs="Arial"/>
          <w:color w:val="000000" w:themeColor="text1"/>
          <w:sz w:val="24"/>
          <w:szCs w:val="24"/>
        </w:rPr>
        <w:t xml:space="preserve">9.1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295246"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de enquadramento da licitante como Microempresa – ME,</w:t>
      </w:r>
      <w:r w:rsidR="00E364D1" w:rsidRPr="00295246">
        <w:rPr>
          <w:rStyle w:val="Manoel"/>
          <w:color w:val="000000" w:themeColor="text1"/>
          <w:sz w:val="24"/>
        </w:rPr>
        <w:t xml:space="preserve"> Empresa de Pequeno Porte – EPP, apta a usufruir do tratamento favorecido estabelecido nos arts. 42 a 49 da Lei Complementar n</w:t>
      </w:r>
      <w:r w:rsidR="00666E83" w:rsidRPr="00295246">
        <w:rPr>
          <w:rStyle w:val="Manoel"/>
          <w:color w:val="000000" w:themeColor="text1"/>
          <w:sz w:val="24"/>
        </w:rPr>
        <w:t xml:space="preserve">. 123, de 2006, modelo anexo </w:t>
      </w:r>
      <w:r w:rsidR="00B55334" w:rsidRPr="00295246">
        <w:rPr>
          <w:rStyle w:val="Manoel"/>
          <w:color w:val="000000" w:themeColor="text1"/>
          <w:sz w:val="24"/>
        </w:rPr>
        <w:t>VIII</w:t>
      </w:r>
      <w:r w:rsidR="00666E83" w:rsidRPr="00295246">
        <w:rPr>
          <w:rStyle w:val="Manoel"/>
          <w:color w:val="000000" w:themeColor="text1"/>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Se a proposta de preço não for aceitável, a Comissão de Licitação examinará a proposta subsequente,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w:t>
      </w:r>
      <w:r w:rsidRPr="00295246">
        <w:rPr>
          <w:rFonts w:ascii="Arial" w:hAnsi="Arial" w:cs="Arial"/>
          <w:color w:val="000000" w:themeColor="text1"/>
        </w:rPr>
        <w:lastRenderedPageBreak/>
        <w:t>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1E3F58" w:rsidRPr="00295246" w:rsidRDefault="00EB655E" w:rsidP="00707834">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shd w:val="clear" w:color="auto" w:fill="FFFFFF"/>
        <w:spacing w:after="120" w:line="276" w:lineRule="auto"/>
        <w:rPr>
          <w:rFonts w:ascii="Arial" w:hAnsi="Arial" w:cs="Arial"/>
          <w:color w:val="000000" w:themeColor="text1"/>
          <w:sz w:val="24"/>
          <w:szCs w:val="24"/>
        </w:rPr>
      </w:pP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observará o disposto no art. 109, § 4º,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D0106F" w:rsidP="00707834">
      <w:pPr>
        <w:widowControl w:val="0"/>
        <w:numPr>
          <w:ilvl w:val="0"/>
          <w:numId w:val="3"/>
        </w:numPr>
        <w:suppressAutoHyphens/>
        <w:spacing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lastRenderedPageBreak/>
        <w:t xml:space="preserve">será firmado Termo de Contrato, conforme anexo VI,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widowControl w:val="0"/>
        <w:numPr>
          <w:ilvl w:val="1"/>
          <w:numId w:val="3"/>
        </w:numPr>
        <w:suppressAutoHyphens/>
        <w:spacing w:before="120" w:after="120" w:line="276" w:lineRule="auto"/>
        <w:ind w:left="0" w:firstLine="0"/>
        <w:rPr>
          <w:rStyle w:val="Manoel"/>
          <w:color w:val="000000" w:themeColor="text1"/>
          <w:sz w:val="24"/>
        </w:rPr>
      </w:pPr>
      <w:r w:rsidRPr="00295246">
        <w:rPr>
          <w:rFonts w:ascii="Arial" w:hAnsi="Arial" w:cs="Arial"/>
          <w:color w:val="000000" w:themeColor="text1"/>
          <w:sz w:val="24"/>
        </w:rPr>
        <w:t xml:space="preserve">Antes da assinatura do Termo de Contrato, a Administração realizará consulta “on line”, e ao Cadastro Informativo de Créditos não Quitados - CADIN, cujos resultados serão anexados aos autos do processo. </w:t>
      </w:r>
      <w:r w:rsidRPr="00295246">
        <w:rPr>
          <w:rStyle w:val="Manoel"/>
          <w:color w:val="000000" w:themeColor="text1"/>
          <w:sz w:val="24"/>
        </w:rPr>
        <w:t>Tão-somente a inscrição no CADIN não determina a impossibilidade de contratar.</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REAJUSTE</w:t>
      </w:r>
    </w:p>
    <w:p w:rsidR="00D0106F" w:rsidRPr="00295246" w:rsidRDefault="00D0106F" w:rsidP="00707834">
      <w:pPr>
        <w:pStyle w:val="Nivel2"/>
        <w:numPr>
          <w:ilvl w:val="1"/>
          <w:numId w:val="3"/>
        </w:numPr>
        <w:ind w:left="0"/>
        <w:rPr>
          <w:rFonts w:ascii="Arial" w:hAnsi="Arial" w:cs="Arial"/>
          <w:color w:val="000000" w:themeColor="text1"/>
          <w:sz w:val="24"/>
          <w:szCs w:val="24"/>
        </w:rPr>
      </w:pPr>
      <w:r w:rsidRPr="00295246">
        <w:rPr>
          <w:rFonts w:ascii="Arial" w:hAnsi="Arial" w:cs="Arial"/>
          <w:color w:val="000000" w:themeColor="text1"/>
          <w:sz w:val="24"/>
          <w:szCs w:val="24"/>
        </w:rPr>
        <w:t xml:space="preserve">As </w:t>
      </w:r>
      <w:r w:rsidRPr="00295246">
        <w:rPr>
          <w:rFonts w:ascii="Arial" w:hAnsi="Arial" w:cs="Arial"/>
          <w:color w:val="000000" w:themeColor="text1"/>
          <w:sz w:val="24"/>
          <w:szCs w:val="24"/>
          <w:lang w:eastAsia="en-US"/>
        </w:rPr>
        <w:t>regras</w:t>
      </w:r>
      <w:r w:rsidRPr="00295246">
        <w:rPr>
          <w:rFonts w:ascii="Arial" w:hAnsi="Arial" w:cs="Arial"/>
          <w:color w:val="000000" w:themeColor="text1"/>
          <w:sz w:val="24"/>
          <w:szCs w:val="24"/>
        </w:rPr>
        <w:t xml:space="preserve"> acerca do reajuste do valor contratual são as estabelecidas no Termo de Contrato, anexo a este Edital.</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widowControl w:val="0"/>
        <w:numPr>
          <w:ilvl w:val="0"/>
          <w:numId w:val="3"/>
        </w:numPr>
        <w:suppressAutoHyphens/>
        <w:spacing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widowControl w:val="0"/>
        <w:numPr>
          <w:ilvl w:val="0"/>
          <w:numId w:val="3"/>
        </w:numPr>
        <w:suppressAutoHyphens/>
        <w:spacing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D0106F" w:rsidRPr="00295246" w:rsidRDefault="00D0106F" w:rsidP="00707834">
      <w:pPr>
        <w:widowControl w:val="0"/>
        <w:numPr>
          <w:ilvl w:val="0"/>
          <w:numId w:val="3"/>
        </w:numPr>
        <w:suppressAutoHyphens/>
        <w:spacing w:before="120" w:after="120" w:line="276" w:lineRule="auto"/>
        <w:ind w:left="0"/>
        <w:rPr>
          <w:rFonts w:ascii="Arial" w:hAnsi="Arial" w:cs="Arial"/>
          <w:b/>
          <w:color w:val="000000" w:themeColor="text1"/>
          <w:sz w:val="24"/>
          <w:szCs w:val="24"/>
        </w:rPr>
      </w:pPr>
      <w:r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1E3F58" w:rsidRPr="00295246" w:rsidRDefault="001E3F58" w:rsidP="00707834">
      <w:pPr>
        <w:widowControl w:val="0"/>
        <w:suppressAutoHyphens/>
        <w:spacing w:before="120" w:after="120" w:line="276" w:lineRule="auto"/>
        <w:rPr>
          <w:rFonts w:ascii="Arial" w:hAnsi="Arial" w:cs="Arial"/>
          <w:b/>
          <w:color w:val="000000" w:themeColor="text1"/>
          <w:sz w:val="24"/>
          <w:szCs w:val="24"/>
        </w:rPr>
      </w:pPr>
    </w:p>
    <w:p w:rsidR="00D0106F" w:rsidRPr="00295246" w:rsidRDefault="00D0106F" w:rsidP="00707834">
      <w:pPr>
        <w:numPr>
          <w:ilvl w:val="0"/>
          <w:numId w:val="3"/>
        </w:numPr>
        <w:spacing w:before="120" w:after="120" w:line="276" w:lineRule="auto"/>
        <w:ind w:left="0"/>
        <w:rPr>
          <w:rFonts w:ascii="Arial" w:hAnsi="Arial" w:cs="Arial"/>
          <w:b/>
          <w:color w:val="000000" w:themeColor="text1"/>
          <w:sz w:val="24"/>
          <w:szCs w:val="24"/>
        </w:rPr>
      </w:pPr>
      <w:r w:rsidRPr="00295246">
        <w:rPr>
          <w:rFonts w:ascii="Arial" w:hAnsi="Arial" w:cs="Arial"/>
          <w:b/>
          <w:color w:val="000000" w:themeColor="text1"/>
          <w:sz w:val="24"/>
          <w:szCs w:val="24"/>
        </w:rPr>
        <w:lastRenderedPageBreak/>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AB1720"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0A374D"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Não será efetuado sob nenhuma hipótese pagamento adiantado.</w:t>
      </w:r>
    </w:p>
    <w:p w:rsidR="001E3F58" w:rsidRPr="00295246" w:rsidRDefault="001E3F58"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Após a homologação do resultado final do concurso público, mediante a apresentação de Nota Fiscal dos serviços contratados, o pagamento será efetuado na conta bancária da contratada, no prazo de 15 (quinze) dias.</w:t>
      </w:r>
    </w:p>
    <w:p w:rsidR="001E3F58" w:rsidRPr="00295246" w:rsidRDefault="001E3F58" w:rsidP="00707834">
      <w:pPr>
        <w:numPr>
          <w:ilvl w:val="1"/>
          <w:numId w:val="17"/>
        </w:numPr>
        <w:shd w:val="clear" w:color="auto" w:fill="FFFFFF"/>
        <w:spacing w:before="120" w:after="120" w:line="240" w:lineRule="auto"/>
        <w:ind w:left="0"/>
        <w:textAlignment w:val="baseline"/>
        <w:rPr>
          <w:rFonts w:ascii="Arial" w:eastAsia="WenQuanYi Micro Hei" w:hAnsi="Arial" w:cs="Arial"/>
          <w:vanish/>
          <w:color w:val="000000" w:themeColor="text1"/>
          <w:sz w:val="24"/>
          <w:szCs w:val="24"/>
          <w:lang w:eastAsia="zh-CN" w:bidi="hi-IN"/>
        </w:rPr>
      </w:pP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1E3F58" w:rsidP="00707834">
      <w:pPr>
        <w:pStyle w:val="PADRO"/>
        <w:keepNext w:val="0"/>
        <w:widowControl/>
        <w:numPr>
          <w:ilvl w:val="1"/>
          <w:numId w:val="17"/>
        </w:numPr>
        <w:spacing w:before="120" w:after="120" w:line="240" w:lineRule="auto"/>
        <w:ind w:left="0"/>
        <w:rPr>
          <w:rStyle w:val="Manoel"/>
          <w:color w:val="000000" w:themeColor="text1"/>
          <w:sz w:val="24"/>
        </w:rPr>
      </w:pP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1E3F58" w:rsidRPr="00295246" w:rsidRDefault="001E3F58"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Será considerada data do pagamento o dia em que constar como emitida a ordem bancária para pagamento.</w:t>
      </w:r>
    </w:p>
    <w:p w:rsidR="001E3F58" w:rsidRPr="00295246" w:rsidRDefault="001E3F58"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1E3F58" w:rsidP="00707834">
      <w:pPr>
        <w:pStyle w:val="PADRO"/>
        <w:keepNext w:val="0"/>
        <w:widowControl/>
        <w:numPr>
          <w:ilvl w:val="2"/>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1E3F58" w:rsidP="00707834">
      <w:pPr>
        <w:pStyle w:val="PADRO"/>
        <w:keepNext w:val="0"/>
        <w:widowControl/>
        <w:numPr>
          <w:ilvl w:val="2"/>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1E3F58" w:rsidP="00707834">
      <w:pPr>
        <w:pStyle w:val="PADRO"/>
        <w:keepNext w:val="0"/>
        <w:widowControl/>
        <w:numPr>
          <w:ilvl w:val="1"/>
          <w:numId w:val="17"/>
        </w:numPr>
        <w:spacing w:before="120" w:after="120" w:line="240" w:lineRule="auto"/>
        <w:ind w:left="0"/>
        <w:rPr>
          <w:rFonts w:ascii="Arial" w:hAnsi="Arial" w:cs="Arial"/>
          <w:color w:val="000000" w:themeColor="text1"/>
          <w:sz w:val="24"/>
        </w:rPr>
      </w:pP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tc>
      </w:tr>
    </w:tbl>
    <w:p w:rsidR="001E3F58" w:rsidRPr="00295246" w:rsidRDefault="001E3F58"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spacing w:before="120" w:after="120" w:line="240" w:lineRule="auto"/>
        <w:rPr>
          <w:rFonts w:ascii="Arial" w:hAnsi="Arial" w:cs="Arial"/>
          <w:color w:val="000000" w:themeColor="text1"/>
          <w:sz w:val="24"/>
          <w:szCs w:val="24"/>
        </w:rPr>
      </w:pP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D0106F"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666E83" w:rsidRPr="00295246" w:rsidRDefault="00666E83"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lastRenderedPageBreak/>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707834">
      <w:pPr>
        <w:pStyle w:val="Nivel3"/>
        <w:numPr>
          <w:ilvl w:val="2"/>
          <w:numId w:val="3"/>
        </w:numPr>
        <w:tabs>
          <w:tab w:val="left" w:pos="2268"/>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707834">
      <w:pPr>
        <w:widowControl w:val="0"/>
        <w:numPr>
          <w:ilvl w:val="2"/>
          <w:numId w:val="3"/>
        </w:numPr>
        <w:tabs>
          <w:tab w:val="left" w:pos="2268"/>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295246" w:rsidRDefault="006533BA" w:rsidP="00707834">
      <w:pPr>
        <w:widowControl w:val="0"/>
        <w:numPr>
          <w:ilvl w:val="2"/>
          <w:numId w:val="3"/>
        </w:numPr>
        <w:tabs>
          <w:tab w:val="left" w:pos="2268"/>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ANEXO III – Planilha de custos;</w:t>
      </w:r>
    </w:p>
    <w:p w:rsidR="00D0106F" w:rsidRPr="00295246" w:rsidRDefault="00D0106F" w:rsidP="00707834">
      <w:pPr>
        <w:widowControl w:val="0"/>
        <w:numPr>
          <w:ilvl w:val="2"/>
          <w:numId w:val="3"/>
        </w:numPr>
        <w:tabs>
          <w:tab w:val="left" w:pos="2268"/>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707834">
      <w:pPr>
        <w:widowControl w:val="0"/>
        <w:numPr>
          <w:ilvl w:val="2"/>
          <w:numId w:val="3"/>
        </w:numPr>
        <w:tabs>
          <w:tab w:val="left" w:pos="2268"/>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lastRenderedPageBreak/>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707834">
      <w:pPr>
        <w:widowControl w:val="0"/>
        <w:numPr>
          <w:ilvl w:val="2"/>
          <w:numId w:val="3"/>
        </w:numPr>
        <w:tabs>
          <w:tab w:val="left" w:pos="2268"/>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95246">
        <w:rPr>
          <w:rFonts w:ascii="Arial" w:hAnsi="Arial"/>
          <w:color w:val="000000" w:themeColor="text1"/>
          <w:sz w:val="24"/>
          <w:szCs w:val="24"/>
        </w:rPr>
        <w:t xml:space="preserve">20.18.7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0106F" w:rsidRPr="00295246">
        <w:rPr>
          <w:rFonts w:ascii="Arial" w:hAnsi="Arial" w:cs="Arial"/>
          <w:color w:val="000000" w:themeColor="text1"/>
          <w:sz w:val="24"/>
          <w:szCs w:val="24"/>
        </w:rPr>
        <w:tab/>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1E3F58" w:rsidRPr="00295246" w:rsidRDefault="00992A3E" w:rsidP="00707834">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3D4982" w:rsidRPr="00295246">
        <w:rPr>
          <w:rFonts w:ascii="Arial" w:hAnsi="Arial" w:cs="Arial"/>
          <w:color w:val="000000" w:themeColor="text1"/>
          <w:sz w:val="24"/>
          <w:szCs w:val="24"/>
        </w:rPr>
        <w:t>anta Terezinha do Progresso - 23</w:t>
      </w:r>
      <w:r w:rsidRPr="00295246">
        <w:rPr>
          <w:rFonts w:ascii="Arial" w:hAnsi="Arial" w:cs="Arial"/>
          <w:color w:val="000000" w:themeColor="text1"/>
          <w:sz w:val="24"/>
          <w:szCs w:val="24"/>
        </w:rPr>
        <w:t xml:space="preserve"> de outubro de 2018</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54862" w:rsidRPr="00295246" w:rsidRDefault="00A54862" w:rsidP="00707834">
      <w:pPr>
        <w:spacing w:after="120" w:line="276" w:lineRule="auto"/>
        <w:rPr>
          <w:rFonts w:ascii="Arial" w:hAnsi="Arial" w:cs="Arial"/>
          <w:color w:val="000000" w:themeColor="text1"/>
          <w:sz w:val="24"/>
          <w:szCs w:val="24"/>
        </w:rPr>
      </w:pPr>
    </w:p>
    <w:p w:rsidR="00D0106F" w:rsidRPr="00295246" w:rsidRDefault="003D49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103</w:t>
      </w:r>
      <w:r w:rsidR="00D0106F" w:rsidRPr="00295246">
        <w:rPr>
          <w:rFonts w:ascii="Arial" w:hAnsi="Arial" w:cs="Arial"/>
          <w:color w:val="000000" w:themeColor="text1"/>
          <w:sz w:val="24"/>
          <w:szCs w:val="24"/>
        </w:rPr>
        <w:t>/2018 – Tomada d</w:t>
      </w:r>
      <w:r w:rsidRPr="00295246">
        <w:rPr>
          <w:rFonts w:ascii="Arial" w:hAnsi="Arial" w:cs="Arial"/>
          <w:color w:val="000000" w:themeColor="text1"/>
          <w:sz w:val="24"/>
          <w:szCs w:val="24"/>
        </w:rPr>
        <w:t>e Preços 14</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Ref.: TOMADA DE PREÇOS Nº 013/2018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lastRenderedPageBreak/>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D0106F"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103/2018 – Tomada de Preços 14</w:t>
      </w:r>
      <w:r w:rsidR="00D0106F" w:rsidRPr="00295246">
        <w:rPr>
          <w:rFonts w:ascii="Arial" w:hAnsi="Arial" w:cs="Arial"/>
          <w:color w:val="000000" w:themeColor="text1"/>
          <w:sz w:val="24"/>
          <w:szCs w:val="24"/>
        </w:rPr>
        <w:t>/201</w:t>
      </w:r>
      <w:r w:rsidRPr="00295246">
        <w:rPr>
          <w:rFonts w:ascii="Arial" w:hAnsi="Arial" w:cs="Arial"/>
          <w:color w:val="000000" w:themeColor="text1"/>
          <w:sz w:val="24"/>
          <w:szCs w:val="24"/>
        </w:rPr>
        <w:t>8</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(ANEXO II)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TOMADA DE PREÇOS Nº 013/2018.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Pela presente submetemos à apreciação de V. S.ª a nossa proposta para o seguinte OBJETO: CONTRATAÇÃO DE EMPRESA EM REGIME DE EMPREITADA GLOBAL PARA AMPLIAÇÃO DO CENTRO ADMINISTRATIVO MUNICIPAL. (PREFEITURA), COM ÁREA TOTAL DE 53,53 M². CONFORME PROJETO, MEMORIAL DESCRITIVO, PLANILHA DE ORÇAMENTO, CRONOGRAMA FÍSICO E FINANCEIRO E DEMAIS ANEXOS DESTE EDITAL.</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Atenciosamente,</w:t>
      </w:r>
    </w:p>
    <w:p w:rsidR="00BB0732"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p>
    <w:p w:rsidR="00D0106F" w:rsidRPr="00295246" w:rsidRDefault="00992A3E"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103</w:t>
      </w:r>
      <w:r w:rsidR="00D0106F" w:rsidRPr="00295246">
        <w:rPr>
          <w:rFonts w:ascii="Arial" w:hAnsi="Arial" w:cs="Arial"/>
          <w:color w:val="000000" w:themeColor="text1"/>
          <w:sz w:val="24"/>
          <w:szCs w:val="24"/>
        </w:rPr>
        <w:t xml:space="preserve">/2018 – Tomada de </w:t>
      </w:r>
      <w:r w:rsidRPr="00295246">
        <w:rPr>
          <w:rFonts w:ascii="Arial" w:hAnsi="Arial" w:cs="Arial"/>
          <w:color w:val="000000" w:themeColor="text1"/>
          <w:sz w:val="24"/>
          <w:szCs w:val="24"/>
        </w:rPr>
        <w:t>Preços 14</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(ANEXO III)</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992A3E" w:rsidRPr="00295246" w:rsidRDefault="00992A3E"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98/2018 – Tomada de Preços 13/2018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98/2018 – Tomada de Preços 13/2018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BB0732" w:rsidRPr="00295246" w:rsidRDefault="00BB0732"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972E41"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103</w:t>
      </w:r>
      <w:r w:rsidR="00D0106F" w:rsidRPr="00295246">
        <w:rPr>
          <w:rFonts w:ascii="Arial" w:hAnsi="Arial" w:cs="Arial"/>
          <w:color w:val="000000" w:themeColor="text1"/>
          <w:sz w:val="24"/>
          <w:szCs w:val="24"/>
        </w:rPr>
        <w:t>/2018 Mo</w:t>
      </w:r>
      <w:r w:rsidRPr="00295246">
        <w:rPr>
          <w:rFonts w:ascii="Arial" w:hAnsi="Arial" w:cs="Arial"/>
          <w:color w:val="000000" w:themeColor="text1"/>
          <w:sz w:val="24"/>
          <w:szCs w:val="24"/>
        </w:rPr>
        <w:t>dalidade Tomada de Preços nº. 14</w:t>
      </w:r>
      <w:r w:rsidR="00D0106F" w:rsidRPr="00295246">
        <w:rPr>
          <w:rFonts w:ascii="Arial" w:hAnsi="Arial" w:cs="Arial"/>
          <w:color w:val="000000" w:themeColor="text1"/>
          <w:sz w:val="24"/>
          <w:szCs w:val="24"/>
        </w:rPr>
        <w:t>/2018</w:t>
      </w:r>
    </w:p>
    <w:p w:rsidR="00D0106F" w:rsidRPr="00295246" w:rsidRDefault="00B55334"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707834">
      <w:pPr>
        <w:pStyle w:val="Corpodetexto21"/>
        <w:spacing w:before="120" w:after="120"/>
        <w:ind w:firstLine="0"/>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spacing w:before="120" w:after="120" w:line="240" w:lineRule="auto"/>
        <w:rPr>
          <w:rFonts w:ascii="Arial" w:hAnsi="Arial" w:cs="Arial"/>
          <w:b/>
          <w:bCs/>
          <w:color w:val="000000" w:themeColor="text1"/>
          <w:sz w:val="24"/>
          <w:szCs w:val="24"/>
        </w:rPr>
      </w:pPr>
    </w:p>
    <w:p w:rsidR="00972E41" w:rsidRPr="00295246" w:rsidRDefault="00972E41" w:rsidP="00707834">
      <w:pPr>
        <w:spacing w:before="120" w:after="120" w:line="240" w:lineRule="auto"/>
        <w:rPr>
          <w:rFonts w:ascii="Arial" w:hAnsi="Arial" w:cs="Arial"/>
          <w:b/>
          <w:bCs/>
          <w:color w:val="000000" w:themeColor="text1"/>
          <w:sz w:val="24"/>
          <w:szCs w:val="24"/>
        </w:rPr>
      </w:pPr>
      <w:r w:rsidRPr="00295246">
        <w:rPr>
          <w:rFonts w:ascii="Arial" w:hAnsi="Arial" w:cs="Arial"/>
          <w:b/>
          <w:bCs/>
          <w:color w:val="000000" w:themeColor="text1"/>
          <w:sz w:val="24"/>
          <w:szCs w:val="24"/>
        </w:rPr>
        <w:t>TOMADA DE PREÇOS N° 14/2018</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972E41" w:rsidRPr="00295246">
        <w:rPr>
          <w:rFonts w:ascii="Arial" w:hAnsi="Arial" w:cs="Arial"/>
          <w:color w:val="000000" w:themeColor="text1"/>
          <w:sz w:val="24"/>
          <w:szCs w:val="24"/>
        </w:rPr>
        <w:t>nº. 103</w:t>
      </w:r>
      <w:r w:rsidRPr="00295246">
        <w:rPr>
          <w:rFonts w:ascii="Arial" w:hAnsi="Arial" w:cs="Arial"/>
          <w:color w:val="000000" w:themeColor="text1"/>
          <w:sz w:val="24"/>
          <w:szCs w:val="24"/>
        </w:rPr>
        <w:t>/2018 Mo</w:t>
      </w:r>
      <w:r w:rsidR="00972E41" w:rsidRPr="00295246">
        <w:rPr>
          <w:rFonts w:ascii="Arial" w:hAnsi="Arial" w:cs="Arial"/>
          <w:color w:val="000000" w:themeColor="text1"/>
          <w:sz w:val="24"/>
          <w:szCs w:val="24"/>
        </w:rPr>
        <w:t>dalidade Tomada de Preços nº. 14</w:t>
      </w:r>
      <w:r w:rsidRPr="00295246">
        <w:rPr>
          <w:rFonts w:ascii="Arial" w:hAnsi="Arial" w:cs="Arial"/>
          <w:color w:val="000000" w:themeColor="text1"/>
          <w:sz w:val="24"/>
          <w:szCs w:val="24"/>
        </w:rPr>
        <w:t>/2018</w:t>
      </w:r>
    </w:p>
    <w:p w:rsidR="00D0106F" w:rsidRPr="00295246" w:rsidRDefault="00B55334"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 (ANEXO VII</w:t>
      </w:r>
      <w:r w:rsidR="00D0106F" w:rsidRPr="00295246">
        <w:rPr>
          <w:rFonts w:ascii="Arial" w:hAnsi="Arial" w:cs="Arial"/>
          <w:b/>
          <w:color w:val="000000" w:themeColor="text1"/>
          <w:sz w:val="24"/>
          <w:szCs w:val="24"/>
        </w:rPr>
        <w:t xml:space="preserve">)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M O D E L O DE DECLARAÇÃO " 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972E41"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Ref.: TOMADA DE PREÇOS Nº 014</w:t>
      </w:r>
      <w:r w:rsidR="00D0106F" w:rsidRPr="00295246">
        <w:rPr>
          <w:rFonts w:ascii="Arial" w:hAnsi="Arial" w:cs="Arial"/>
          <w:color w:val="000000" w:themeColor="text1"/>
          <w:sz w:val="24"/>
          <w:szCs w:val="24"/>
        </w:rPr>
        <w:t xml:space="preserve">/2018.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0103</w:t>
      </w:r>
      <w:r w:rsidR="00D0106F" w:rsidRPr="00295246">
        <w:rPr>
          <w:rFonts w:ascii="Arial" w:hAnsi="Arial" w:cs="Arial"/>
          <w:color w:val="000000" w:themeColor="text1"/>
          <w:sz w:val="24"/>
          <w:szCs w:val="24"/>
        </w:rPr>
        <w:t>/2018 Mo</w:t>
      </w:r>
      <w:r w:rsidRPr="00295246">
        <w:rPr>
          <w:rFonts w:ascii="Arial" w:hAnsi="Arial" w:cs="Arial"/>
          <w:color w:val="000000" w:themeColor="text1"/>
          <w:sz w:val="24"/>
          <w:szCs w:val="24"/>
        </w:rPr>
        <w:t>dalidade Tomada de Preços nº. 14</w:t>
      </w:r>
      <w:r w:rsidR="00D0106F" w:rsidRPr="00295246">
        <w:rPr>
          <w:rFonts w:ascii="Arial" w:hAnsi="Arial" w:cs="Arial"/>
          <w:color w:val="000000" w:themeColor="text1"/>
          <w:sz w:val="24"/>
          <w:szCs w:val="24"/>
        </w:rPr>
        <w:t xml:space="preserve">/2018 </w:t>
      </w:r>
    </w:p>
    <w:p w:rsidR="00153482" w:rsidRPr="00295246" w:rsidRDefault="00B55334" w:rsidP="00707834">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707834">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r w:rsidRPr="00295246">
        <w:rPr>
          <w:rFonts w:ascii="Arial" w:hAnsi="Arial" w:cs="Arial"/>
          <w:b/>
          <w:bCs/>
          <w:color w:val="000000" w:themeColor="text1"/>
          <w:sz w:val="24"/>
          <w:szCs w:val="24"/>
        </w:rPr>
        <w:t>TOMADA DE PREÇOS N° 13/2018</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811E1A" w:rsidRPr="00295246" w:rsidRDefault="00811E1A" w:rsidP="00707834">
      <w:pPr>
        <w:spacing w:before="240"/>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811E1A" w:rsidRPr="00295246" w:rsidRDefault="00811E1A" w:rsidP="00707834">
      <w:pPr>
        <w:spacing w:before="240"/>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Pr="00295246">
        <w:rPr>
          <w:rFonts w:ascii="Arial" w:hAnsi="Arial" w:cs="Arial"/>
          <w:color w:val="000000" w:themeColor="text1"/>
          <w:sz w:val="24"/>
          <w:szCs w:val="24"/>
        </w:rPr>
        <w:t xml:space="preserve"> nº 14/2018,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CONTRATAÇÃO DE EMPRESA PARA EXECUÇÃO DA REFORMA DO NÚCLEO ESCOLAR MUNDO NOVO, CONFORME PROJETO, MEMORIAL DESCRITIVO, ORÇAMENTO E DEMAIS ANEXOS DESTE EDITAL.</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Este Termo de Contrato vincula-se ao Instrumento Convocatório </w:t>
      </w:r>
      <w:r w:rsidRPr="00295246">
        <w:rPr>
          <w:rFonts w:ascii="Arial" w:hAnsi="Arial" w:cs="Arial"/>
          <w:i/>
          <w:color w:val="000000" w:themeColor="text1"/>
          <w:sz w:val="24"/>
          <w:szCs w:val="24"/>
        </w:rPr>
        <w:t>da Tomada de Preços</w:t>
      </w:r>
      <w:r w:rsidRPr="00295246">
        <w:rPr>
          <w:rFonts w:ascii="Arial" w:hAnsi="Arial" w:cs="Arial"/>
          <w:color w:val="000000" w:themeColor="text1"/>
          <w:sz w:val="24"/>
          <w:szCs w:val="24"/>
        </w:rPr>
        <w:t xml:space="preserve"> 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A vigência poderá ultrapassar o exercício financeiro, desde que as despesas referentes à contratação sejam integralmente empenhadas até 31 de dezembro, para fins de inscrição em restos a pagar.</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295246" w:rsidRDefault="00811E1A" w:rsidP="00707834">
      <w:pPr>
        <w:numPr>
          <w:ilvl w:val="1"/>
          <w:numId w:val="19"/>
        </w:numPr>
        <w:spacing w:before="120" w:afterLines="120" w:line="276" w:lineRule="auto"/>
        <w:ind w:left="0"/>
        <w:rPr>
          <w:rFonts w:ascii="Arial" w:hAnsi="Arial" w:cs="Arial"/>
          <w:bCs/>
          <w:iCs/>
          <w:color w:val="000000" w:themeColor="text1"/>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As despesas decorrentes desta contratação estão programadas em dotação orçamentária própria, prevista no orçamento do Município, para o exercício de 20...., na classificação abaixo:</w:t>
      </w:r>
    </w:p>
    <w:tbl>
      <w:tblPr>
        <w:tblStyle w:val="Tabelacomgrade"/>
        <w:tblW w:w="8530" w:type="dxa"/>
        <w:tblInd w:w="792" w:type="dxa"/>
        <w:tblLook w:val="04A0"/>
      </w:tblPr>
      <w:tblGrid>
        <w:gridCol w:w="1159"/>
        <w:gridCol w:w="1276"/>
        <w:gridCol w:w="2977"/>
        <w:gridCol w:w="3118"/>
      </w:tblGrid>
      <w:tr w:rsidR="00811E1A" w:rsidRPr="00295246" w:rsidTr="00A72338">
        <w:tc>
          <w:tcPr>
            <w:tcW w:w="1159"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118"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811E1A" w:rsidRPr="00295246" w:rsidTr="00A72338">
        <w:tc>
          <w:tcPr>
            <w:tcW w:w="1159"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57</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04.01</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3118"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811E1A" w:rsidRPr="00295246" w:rsidRDefault="00811E1A" w:rsidP="00707834">
      <w:pPr>
        <w:pStyle w:val="NormalWeb"/>
        <w:numPr>
          <w:ilvl w:val="1"/>
          <w:numId w:val="19"/>
        </w:numPr>
        <w:spacing w:before="120" w:beforeAutospacing="0" w:after="120" w:afterAutospacing="0" w:line="276" w:lineRule="auto"/>
        <w:ind w:left="0"/>
        <w:jc w:val="both"/>
        <w:rPr>
          <w:rFonts w:ascii="Arial" w:hAnsi="Arial" w:cs="Arial"/>
          <w:color w:val="000000" w:themeColor="text1"/>
        </w:rPr>
      </w:pPr>
      <w:r w:rsidRPr="00295246">
        <w:rPr>
          <w:rFonts w:ascii="Arial" w:hAnsi="Arial" w:cs="Arial"/>
          <w:color w:val="000000" w:themeColor="text1"/>
        </w:rPr>
        <w:t>O prazo para pagamento à CONTRATADA e demais condições a ele referentes encontram-se definidos no Instrumento Convocatório.</w:t>
      </w: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disciplina inerente ao controle e fiscalização da execução contratual é aquela prevista no Termo de Referência, anexo do Instrumento Convocatório.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rPr>
          <w:rFonts w:ascii="Arial" w:hAnsi="Arial" w:cs="Arial"/>
          <w:b/>
          <w:iCs/>
          <w:color w:val="000000" w:themeColor="text1"/>
          <w:sz w:val="24"/>
          <w:szCs w:val="24"/>
        </w:rPr>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811E1A" w:rsidRPr="00295246" w:rsidRDefault="00811E1A" w:rsidP="00707834">
      <w:pPr>
        <w:numPr>
          <w:ilvl w:val="1"/>
          <w:numId w:val="20"/>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obrigações da CONTRATANTE e da CONTRATADA são aquelas previstas no Termo de Referência, anexo do Instrumento Convocatório.</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295246"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tabs>
          <w:tab w:val="left" w:pos="0"/>
        </w:tabs>
        <w:rPr>
          <w:rFonts w:ascii="Arial" w:hAnsi="Arial" w:cs="Arial"/>
          <w:i/>
          <w:color w:val="000000" w:themeColor="text1"/>
          <w:sz w:val="24"/>
          <w:szCs w:val="24"/>
        </w:rPr>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295246"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811E1A" w:rsidRPr="00295246"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 xml:space="preserve">As sanções relacionadas à execução do contrato são aquelas previstas no Instrumento Convocatório. </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295246"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Termo de Referência, anexo do Instrumento Convocatório.</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lastRenderedPageBreak/>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707834">
      <w:pPr>
        <w:numPr>
          <w:ilvl w:val="2"/>
          <w:numId w:val="22"/>
        </w:numPr>
        <w:spacing w:before="120" w:after="120" w:line="276" w:lineRule="auto"/>
        <w:ind w:left="0" w:firstLine="708"/>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707834">
      <w:pPr>
        <w:numPr>
          <w:ilvl w:val="2"/>
          <w:numId w:val="22"/>
        </w:numPr>
        <w:spacing w:before="120" w:after="120" w:line="276" w:lineRule="auto"/>
        <w:ind w:left="0" w:firstLine="708"/>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707834">
      <w:pPr>
        <w:numPr>
          <w:ilvl w:val="2"/>
          <w:numId w:val="22"/>
        </w:numPr>
        <w:spacing w:before="120" w:after="120" w:line="276" w:lineRule="auto"/>
        <w:ind w:left="0" w:firstLine="708"/>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295246" w:rsidRDefault="00811E1A" w:rsidP="00707834">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0"/>
          <w:numId w:val="22"/>
        </w:numPr>
        <w:spacing w:before="120" w:after="120" w:line="276" w:lineRule="auto"/>
        <w:ind w:left="0" w:firstLine="0"/>
        <w:rPr>
          <w:rFonts w:ascii="Arial" w:hAnsi="Arial" w:cs="Arial"/>
          <w:color w:val="000000" w:themeColor="text1"/>
          <w:sz w:val="24"/>
          <w:szCs w:val="24"/>
        </w:rPr>
      </w:pP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ab/>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rPr>
          <w:rFonts w:ascii="Arial" w:hAnsi="Arial" w:cs="Arial"/>
          <w:color w:val="000000" w:themeColor="text1"/>
          <w:sz w:val="24"/>
          <w:szCs w:val="24"/>
        </w:rPr>
      </w:pPr>
    </w:p>
    <w:p w:rsidR="00811E1A" w:rsidRPr="00295246" w:rsidRDefault="00811E1A" w:rsidP="00707834">
      <w:pPr>
        <w:rPr>
          <w:rFonts w:ascii="Arial" w:hAnsi="Arial" w:cs="Arial"/>
          <w:color w:val="000000" w:themeColor="text1"/>
          <w:sz w:val="24"/>
          <w:szCs w:val="24"/>
        </w:rPr>
      </w:pP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707834">
      <w:pP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707834">
      <w:pP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295246" w:rsidRDefault="00811E1A" w:rsidP="00707834">
      <w:pPr>
        <w:rPr>
          <w:rFonts w:ascii="Arial" w:hAnsi="Arial" w:cs="Arial"/>
          <w:bCs/>
          <w:color w:val="000000" w:themeColor="text1"/>
          <w:sz w:val="24"/>
          <w:szCs w:val="24"/>
        </w:rPr>
      </w:pPr>
      <w:r w:rsidRPr="00295246">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D0106F"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Processo Licitatório nº. 0103/2018 Modalidade TP nº. 14</w:t>
      </w:r>
      <w:r w:rsidR="00D0106F"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lastRenderedPageBreak/>
        <w:t xml:space="preserve">(ANEXO X) </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spacing w:before="120" w:after="120" w:line="240" w:lineRule="auto"/>
        <w:rPr>
          <w:rFonts w:ascii="Arial" w:eastAsia="Batang" w:hAnsi="Arial" w:cs="Arial"/>
          <w:b/>
          <w:bCs/>
          <w:color w:val="000000" w:themeColor="text1"/>
          <w:sz w:val="24"/>
          <w:szCs w:val="24"/>
          <w:lang w:eastAsia="ar-SA"/>
        </w:rPr>
      </w:pPr>
    </w:p>
    <w:p w:rsidR="00153482" w:rsidRPr="00295246" w:rsidRDefault="00153482" w:rsidP="00707834">
      <w:pPr>
        <w:suppressAutoHyphens/>
        <w:spacing w:before="120" w:after="120" w:line="240" w:lineRule="auto"/>
        <w:rPr>
          <w:rFonts w:ascii="Arial" w:eastAsia="Batang" w:hAnsi="Arial" w:cs="Arial"/>
          <w:b/>
          <w:bCs/>
          <w:color w:val="000000" w:themeColor="text1"/>
          <w:sz w:val="24"/>
          <w:szCs w:val="24"/>
          <w:lang w:eastAsia="ar-SA"/>
        </w:rPr>
      </w:pPr>
    </w:p>
    <w:p w:rsidR="00153482" w:rsidRPr="00295246" w:rsidRDefault="00153482" w:rsidP="00707834">
      <w:pPr>
        <w:suppressAutoHyphens/>
        <w:spacing w:before="120" w:after="120" w:line="240" w:lineRule="auto"/>
        <w:rPr>
          <w:rFonts w:ascii="Arial" w:eastAsia="Batang"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pStyle w:val="Corpodetexto21"/>
        <w:spacing w:before="120" w:after="120"/>
        <w:ind w:firstLine="0"/>
        <w:rPr>
          <w:rFonts w:eastAsia="Arial" w:cs="Arial"/>
          <w:b/>
          <w:bCs/>
          <w:color w:val="000000" w:themeColor="text1"/>
          <w:szCs w:val="24"/>
        </w:rPr>
      </w:pPr>
      <w:r w:rsidRPr="00295246">
        <w:rPr>
          <w:rFonts w:eastAsia="Arial" w:cs="Arial"/>
          <w:b/>
          <w:bCs/>
          <w:color w:val="000000" w:themeColor="text1"/>
          <w:szCs w:val="24"/>
        </w:rPr>
        <w:t>ANEXO XI</w:t>
      </w:r>
    </w:p>
    <w:p w:rsidR="00153482" w:rsidRPr="00295246" w:rsidRDefault="00153482" w:rsidP="00707834">
      <w:pPr>
        <w:pStyle w:val="western"/>
        <w:spacing w:before="120" w:beforeAutospacing="0" w:after="120"/>
        <w:jc w:val="both"/>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spacing w:before="120" w:after="120" w:line="240" w:lineRule="auto"/>
        <w:rPr>
          <w:rFonts w:ascii="Arial" w:hAnsi="Arial" w:cs="Arial"/>
          <w:b/>
          <w:bCs/>
          <w:color w:val="000000" w:themeColor="text1"/>
          <w:sz w:val="24"/>
          <w:szCs w:val="24"/>
        </w:rPr>
      </w:pPr>
      <w:r w:rsidRPr="00295246">
        <w:rPr>
          <w:rFonts w:ascii="Arial" w:hAnsi="Arial" w:cs="Arial"/>
          <w:b/>
          <w:bCs/>
          <w:color w:val="000000" w:themeColor="text1"/>
          <w:sz w:val="24"/>
          <w:szCs w:val="24"/>
        </w:rPr>
        <w:t>TOMADA DE PREÇOS Nº 14/2018</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0103/2018 Modalidade TP nº. 14/2018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707834">
      <w:pPr>
        <w:spacing w:after="120" w:line="276" w:lineRule="auto"/>
        <w:rPr>
          <w:rFonts w:ascii="Arial" w:hAnsi="Arial" w:cs="Arial"/>
          <w:b/>
          <w:color w:val="000000" w:themeColor="text1"/>
          <w:sz w:val="24"/>
          <w:szCs w:val="24"/>
        </w:rPr>
      </w:pPr>
    </w:p>
    <w:p w:rsidR="00153482" w:rsidRPr="00295246" w:rsidRDefault="0097305E" w:rsidP="00707834">
      <w:pPr>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707834">
      <w:pPr>
        <w:spacing w:after="120" w:line="276" w:lineRule="auto"/>
        <w:rPr>
          <w:rFonts w:ascii="Arial" w:hAnsi="Arial" w:cs="Arial"/>
          <w:b/>
          <w:color w:val="000000" w:themeColor="text1"/>
          <w:sz w:val="24"/>
          <w:szCs w:val="24"/>
        </w:rPr>
      </w:pPr>
    </w:p>
    <w:p w:rsidR="0097305E" w:rsidRPr="00295246" w:rsidRDefault="0097305E" w:rsidP="00707834">
      <w:pPr>
        <w:autoSpaceDE w:val="0"/>
        <w:autoSpaceDN w:val="0"/>
        <w:adjustRightInd w:val="0"/>
        <w:spacing w:line="240" w:lineRule="auto"/>
        <w:ind w:firstLine="708"/>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O presente memorial descritivo tem como objetivo descrever as especificidades e detalhes de reformas à serem realizadas na Escola Municipal da Linha Mundo Novo. Este memorial tem como função complementar os orçamentos apresentados.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1.0 – Deverá ser instalada placa com dados relativos a obra e emitida anotação de responsabilidade técnica pela execução dos serviços. Haverá a demolição de alvenaria na Sala 02 para instalação da porta P11. Esta alvenaria não será reaproveitada, porém, deverá ser levada a local próprio para tal. Após a demolição da alvenaria, deverá ser feito o requadro do vão, bem como preenchimento dos locais onde será feita a instalação das tubulações.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2.0 – Deverão ser pintadas as grades de proteção as janelas da escola com tinta esmalte, devendo ser removidas partes soltas da pintura existente, para não comprometimento da qualidade da mesma.</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3.0 – Serão instaladas calhas de aço galvanizado.</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4.0 – Será realizado a substituição parcial do piso de madeira (tacos) nos locais em que o mesmo está danificado, na Sala 04, com posterior lixamento integral do piso e pintura de proteção adequada ao mesmo. Também será realizado lixamento e pintura na Sala 02.</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5.0 – Deverá ser removida totalmente a cerâmica de parede (azulejo) na cozinha com posterior assentamento e rejuntamento da mesma na altura total da parede. Não será reaproveitada o azulejo retirado.</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6.0 – Deverá ser realizada a substituição parcial de forro em ambientes do edifício, bem como reposição de beiral (espelho) e forro externo nos locais em que o mesmo está danificado. A composição inclui a estrutura de madeira para fixação do mesmo onde faz-se necessária a substituição da mesma.</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7.0 – Serão instaladas divisórias leves do tipo, painéis com placas de laminado de fibra de madeira ou papelão, estrutura interna celular em colmeia, e compensado naval, com perfis em chapa de aço zincado e pintura epóxi. Estas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divisórias serão instaladas na Sala 01 e Sala 02 de acordo com projeto apresentado em anexo, sendo sua altura limitada em 2,10m e demais medidas apresentadas em projeto. Será instalada porta de mesmo material e com as dimensões apresentadasem projeto.</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8.0 – Haverá a substituição/reforma de algumas partes de esquadrias (marcos e alisares), sendo necessário medição “in loco” para confecção das mesmas, evitando que haja imprevistos no momento da sua instalação, podendo haver medidas divergentes das apresentadas em projeto. A esquadria à ser instalada, será a porta P11.</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9.0 – Será substituído o bebedouro, em aço inox, existente na área comum da escola, devido a seu mau estado de conservação. Para confecção do mesmo, utilizar bebedouro existente como base de medidas.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10.0 – As torneiras do bebedouro serão substituídas por torneiras cromadas,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devido a necessidade de higiene das mesmas. Também será modificada tubulação do bebedouro, embutindo a na parede, bem como será realizado este trabalho na cozinha, após a remoção dos azulejos e anterior a colocação dos azulejos novos.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Estes itens não constam em projeto, podendo haver variação para melhor</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adequação ao ambiente existente.</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lastRenderedPageBreak/>
        <w:t>11.0 – Quanto as instalações elétricas, será substituída a fiação existente, conforme bitolas necessárias para o bom funcionamento das instalações, podendo haver valores distintos de metragem aos apresentados em orçamento, devido à dificuldade de mensuração dos mesmos, sendo realizado seu pagamento de acordo com fiação utilizada “in loco”.</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Obs: Para realização dos pagamentos referentes as obras realizadas, será feita a medição dos serviços prestados e materiais utilizados, podendo haver distinção no valor final de pagamento. Onde julgar-se a não necessidade de substituição de materiais, não irá se realizar a mesma. Para fins de esclarecimentos, aconselha-se a visita “in loco” dos locais a serem reformados para constatação da real situação dos imóveis.</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Santa Terezinha do Progresso, 17 de outubro de 2018.</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_____________________________________________</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Gerson César Albrecht</w:t>
      </w:r>
    </w:p>
    <w:p w:rsidR="0097305E" w:rsidRPr="00295246" w:rsidRDefault="0097305E" w:rsidP="00707834">
      <w:pPr>
        <w:autoSpaceDE w:val="0"/>
        <w:autoSpaceDN w:val="0"/>
        <w:adjustRightInd w:val="0"/>
        <w:spacing w:line="240" w:lineRule="auto"/>
        <w:rPr>
          <w:rFonts w:ascii="Arial" w:eastAsiaTheme="minorHAnsi" w:hAnsi="Arial" w:cs="Arial"/>
          <w:color w:val="000000" w:themeColor="text1"/>
          <w:sz w:val="24"/>
          <w:szCs w:val="24"/>
        </w:rPr>
      </w:pPr>
      <w:r w:rsidRPr="00295246">
        <w:rPr>
          <w:rFonts w:ascii="Arial" w:eastAsiaTheme="minorHAnsi" w:hAnsi="Arial" w:cs="Arial"/>
          <w:color w:val="000000" w:themeColor="text1"/>
          <w:sz w:val="24"/>
          <w:szCs w:val="24"/>
        </w:rPr>
        <w:t>Engenheiro Civil</w:t>
      </w:r>
    </w:p>
    <w:p w:rsidR="0097305E" w:rsidRPr="00295246" w:rsidRDefault="0097305E" w:rsidP="00707834">
      <w:pPr>
        <w:spacing w:after="120" w:line="276" w:lineRule="auto"/>
        <w:rPr>
          <w:rFonts w:ascii="Arial" w:hAnsi="Arial" w:cs="Arial"/>
          <w:b/>
          <w:color w:val="000000" w:themeColor="text1"/>
          <w:sz w:val="24"/>
          <w:szCs w:val="24"/>
        </w:rPr>
      </w:pPr>
      <w:r w:rsidRPr="00295246">
        <w:rPr>
          <w:rFonts w:ascii="Arial" w:eastAsiaTheme="minorHAnsi" w:hAnsi="Arial" w:cs="Arial"/>
          <w:color w:val="000000" w:themeColor="text1"/>
          <w:sz w:val="24"/>
          <w:szCs w:val="24"/>
        </w:rPr>
        <w:t>CREA/SC: 133.342-1</w:t>
      </w:r>
    </w:p>
    <w:p w:rsidR="00153482" w:rsidRPr="00295246" w:rsidRDefault="00153482" w:rsidP="00707834">
      <w:pPr>
        <w:spacing w:after="120" w:line="276" w:lineRule="auto"/>
        <w:rPr>
          <w:rFonts w:ascii="Arial" w:hAnsi="Arial" w:cs="Arial"/>
          <w:b/>
          <w:color w:val="000000" w:themeColor="text1"/>
          <w:sz w:val="24"/>
          <w:szCs w:val="24"/>
        </w:rPr>
      </w:pPr>
    </w:p>
    <w:sectPr w:rsidR="00153482"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72" w:rsidRDefault="001C6572" w:rsidP="009C4289">
      <w:pPr>
        <w:spacing w:line="240" w:lineRule="auto"/>
      </w:pPr>
      <w:r>
        <w:separator/>
      </w:r>
    </w:p>
  </w:endnote>
  <w:endnote w:type="continuationSeparator" w:id="0">
    <w:p w:rsidR="001C6572" w:rsidRDefault="001C6572"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38" w:rsidRDefault="00A72338" w:rsidP="00703DF8">
    <w:pPr>
      <w:pStyle w:val="Rodap"/>
      <w:jc w:val="center"/>
    </w:pPr>
    <w:r>
      <w:t>Fone: 49 3657-0223 CNPJ 01.612.847/0001-90</w:t>
    </w:r>
  </w:p>
  <w:p w:rsidR="00A72338" w:rsidRDefault="00A72338" w:rsidP="00703DF8">
    <w:pPr>
      <w:pStyle w:val="Rodap"/>
      <w:jc w:val="center"/>
    </w:pPr>
    <w:r>
      <w:t>Av. Tancredo Neves, 337 – Centro – Santa Terezinha do Progresso/SC – 89.983-000</w:t>
    </w:r>
  </w:p>
  <w:p w:rsidR="00A72338" w:rsidRPr="00703DF8" w:rsidRDefault="00A72338" w:rsidP="00703DF8">
    <w:pPr>
      <w:pStyle w:val="Rodap"/>
      <w:jc w:val="center"/>
      <w:rPr>
        <w:b/>
      </w:rPr>
    </w:pPr>
    <w:r>
      <w:rPr>
        <w:b/>
      </w:rPr>
      <w:t>www.staterezinhaprogresso.sc.gov.br</w:t>
    </w:r>
  </w:p>
  <w:p w:rsidR="00A72338" w:rsidRDefault="00A72338"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295246">
      <w:rPr>
        <w:b/>
        <w:bCs/>
        <w:noProof/>
      </w:rPr>
      <w:t>1</w:t>
    </w:r>
    <w:r w:rsidRPr="00DE4919">
      <w:rPr>
        <w:b/>
        <w:bCs/>
      </w:rPr>
      <w:fldChar w:fldCharType="end"/>
    </w:r>
    <w:r w:rsidRPr="00DE4919">
      <w:t xml:space="preserve"> de </w:t>
    </w:r>
    <w:fldSimple w:instr="NUMPAGES  \* Arabic  \* MERGEFORMAT">
      <w:r w:rsidR="00295246" w:rsidRPr="00295246">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72" w:rsidRDefault="001C6572" w:rsidP="009C4289">
      <w:pPr>
        <w:spacing w:line="240" w:lineRule="auto"/>
      </w:pPr>
      <w:r>
        <w:separator/>
      </w:r>
    </w:p>
  </w:footnote>
  <w:footnote w:type="continuationSeparator" w:id="0">
    <w:p w:rsidR="001C6572" w:rsidRDefault="001C6572"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38" w:rsidRPr="007B5E6C" w:rsidRDefault="00A72338"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A72338" w:rsidRPr="007B5E6C" w:rsidRDefault="00A72338" w:rsidP="00DE4919">
    <w:pPr>
      <w:pStyle w:val="Cabealho"/>
      <w:tabs>
        <w:tab w:val="left" w:pos="2127"/>
      </w:tabs>
      <w:ind w:left="2124"/>
      <w:jc w:val="center"/>
      <w:rPr>
        <w:sz w:val="24"/>
        <w:szCs w:val="24"/>
      </w:rPr>
    </w:pPr>
    <w:r w:rsidRPr="007B5E6C">
      <w:rPr>
        <w:sz w:val="24"/>
        <w:szCs w:val="24"/>
      </w:rPr>
      <w:t>PODER EXECUTIVO MUNICIPAL</w:t>
    </w:r>
  </w:p>
  <w:p w:rsidR="00A72338" w:rsidRDefault="00A723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3834"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6082"/>
  </w:hdrShapeDefaults>
  <w:footnotePr>
    <w:footnote w:id="-1"/>
    <w:footnote w:id="0"/>
  </w:footnotePr>
  <w:endnotePr>
    <w:endnote w:id="-1"/>
    <w:endnote w:id="0"/>
  </w:endnotePr>
  <w:compat/>
  <w:rsids>
    <w:rsidRoot w:val="009C4289"/>
    <w:rsid w:val="00004D28"/>
    <w:rsid w:val="00006708"/>
    <w:rsid w:val="00031184"/>
    <w:rsid w:val="00047BE0"/>
    <w:rsid w:val="00083BD5"/>
    <w:rsid w:val="000853F2"/>
    <w:rsid w:val="000A374D"/>
    <w:rsid w:val="000B5D86"/>
    <w:rsid w:val="000C77C7"/>
    <w:rsid w:val="000D1592"/>
    <w:rsid w:val="000D3188"/>
    <w:rsid w:val="000E2736"/>
    <w:rsid w:val="000E5671"/>
    <w:rsid w:val="000E5D63"/>
    <w:rsid w:val="000F5465"/>
    <w:rsid w:val="00112BF3"/>
    <w:rsid w:val="0011610F"/>
    <w:rsid w:val="00116705"/>
    <w:rsid w:val="00123A66"/>
    <w:rsid w:val="00126BD5"/>
    <w:rsid w:val="00153482"/>
    <w:rsid w:val="001969C5"/>
    <w:rsid w:val="00196CB6"/>
    <w:rsid w:val="00196F3D"/>
    <w:rsid w:val="001A4E1C"/>
    <w:rsid w:val="001C6572"/>
    <w:rsid w:val="001E3F58"/>
    <w:rsid w:val="001E7A94"/>
    <w:rsid w:val="0020577A"/>
    <w:rsid w:val="002118D3"/>
    <w:rsid w:val="00213DD6"/>
    <w:rsid w:val="00224125"/>
    <w:rsid w:val="00232DD6"/>
    <w:rsid w:val="00260CEC"/>
    <w:rsid w:val="002932B0"/>
    <w:rsid w:val="00295246"/>
    <w:rsid w:val="002A35AB"/>
    <w:rsid w:val="002B032D"/>
    <w:rsid w:val="002C07A4"/>
    <w:rsid w:val="002D00C5"/>
    <w:rsid w:val="002D124A"/>
    <w:rsid w:val="002E6A74"/>
    <w:rsid w:val="00305BB7"/>
    <w:rsid w:val="00310223"/>
    <w:rsid w:val="00322873"/>
    <w:rsid w:val="00352C23"/>
    <w:rsid w:val="003675A6"/>
    <w:rsid w:val="003A185F"/>
    <w:rsid w:val="003A1FDA"/>
    <w:rsid w:val="003C74F0"/>
    <w:rsid w:val="003D278B"/>
    <w:rsid w:val="003D4982"/>
    <w:rsid w:val="003E2ADC"/>
    <w:rsid w:val="0041204C"/>
    <w:rsid w:val="0047026E"/>
    <w:rsid w:val="00483AD2"/>
    <w:rsid w:val="0049379D"/>
    <w:rsid w:val="004954C4"/>
    <w:rsid w:val="00496297"/>
    <w:rsid w:val="004B5174"/>
    <w:rsid w:val="004C129B"/>
    <w:rsid w:val="004C4605"/>
    <w:rsid w:val="004C469F"/>
    <w:rsid w:val="004E33E5"/>
    <w:rsid w:val="004E35D8"/>
    <w:rsid w:val="00501E03"/>
    <w:rsid w:val="00510F12"/>
    <w:rsid w:val="00592558"/>
    <w:rsid w:val="005B363F"/>
    <w:rsid w:val="005B588F"/>
    <w:rsid w:val="005C6F8B"/>
    <w:rsid w:val="005D0536"/>
    <w:rsid w:val="005D7A8B"/>
    <w:rsid w:val="00622FAF"/>
    <w:rsid w:val="00626B12"/>
    <w:rsid w:val="006533BA"/>
    <w:rsid w:val="006621F3"/>
    <w:rsid w:val="00666E83"/>
    <w:rsid w:val="00694ED3"/>
    <w:rsid w:val="00695493"/>
    <w:rsid w:val="006A188E"/>
    <w:rsid w:val="006C0E1E"/>
    <w:rsid w:val="006C26CD"/>
    <w:rsid w:val="006C2A46"/>
    <w:rsid w:val="006C3B16"/>
    <w:rsid w:val="006C3DC1"/>
    <w:rsid w:val="006F0EDF"/>
    <w:rsid w:val="006F7526"/>
    <w:rsid w:val="00703531"/>
    <w:rsid w:val="00703DF8"/>
    <w:rsid w:val="00707834"/>
    <w:rsid w:val="007117C9"/>
    <w:rsid w:val="007155FF"/>
    <w:rsid w:val="007529EF"/>
    <w:rsid w:val="00765731"/>
    <w:rsid w:val="00790B85"/>
    <w:rsid w:val="007A1E3A"/>
    <w:rsid w:val="007B5E6C"/>
    <w:rsid w:val="007C6F7B"/>
    <w:rsid w:val="00811E1A"/>
    <w:rsid w:val="00814CF7"/>
    <w:rsid w:val="00827603"/>
    <w:rsid w:val="00852F09"/>
    <w:rsid w:val="00856B60"/>
    <w:rsid w:val="008640EE"/>
    <w:rsid w:val="00871A1B"/>
    <w:rsid w:val="00894A18"/>
    <w:rsid w:val="008A10FC"/>
    <w:rsid w:val="008B06D2"/>
    <w:rsid w:val="008B6CC0"/>
    <w:rsid w:val="008C3CEA"/>
    <w:rsid w:val="008C5281"/>
    <w:rsid w:val="008E2EF2"/>
    <w:rsid w:val="009043DC"/>
    <w:rsid w:val="009228B2"/>
    <w:rsid w:val="00972E41"/>
    <w:rsid w:val="0097305E"/>
    <w:rsid w:val="00992A3E"/>
    <w:rsid w:val="00992DF6"/>
    <w:rsid w:val="00997A07"/>
    <w:rsid w:val="009B331E"/>
    <w:rsid w:val="009C4289"/>
    <w:rsid w:val="009C63F8"/>
    <w:rsid w:val="009D35BF"/>
    <w:rsid w:val="00A13DB1"/>
    <w:rsid w:val="00A40F9C"/>
    <w:rsid w:val="00A54862"/>
    <w:rsid w:val="00A61D90"/>
    <w:rsid w:val="00A70BBE"/>
    <w:rsid w:val="00A72338"/>
    <w:rsid w:val="00A83971"/>
    <w:rsid w:val="00A96CE0"/>
    <w:rsid w:val="00AA1EBE"/>
    <w:rsid w:val="00AA2DEF"/>
    <w:rsid w:val="00AA6AA3"/>
    <w:rsid w:val="00AB1720"/>
    <w:rsid w:val="00AB1A23"/>
    <w:rsid w:val="00AB47C4"/>
    <w:rsid w:val="00AD115B"/>
    <w:rsid w:val="00AD741F"/>
    <w:rsid w:val="00B2064C"/>
    <w:rsid w:val="00B33F44"/>
    <w:rsid w:val="00B35730"/>
    <w:rsid w:val="00B55334"/>
    <w:rsid w:val="00B643F0"/>
    <w:rsid w:val="00B75CD7"/>
    <w:rsid w:val="00B832A3"/>
    <w:rsid w:val="00B91D2D"/>
    <w:rsid w:val="00BB0732"/>
    <w:rsid w:val="00BB0DDC"/>
    <w:rsid w:val="00BC0CB3"/>
    <w:rsid w:val="00BE3A3D"/>
    <w:rsid w:val="00BE5CA8"/>
    <w:rsid w:val="00BF289C"/>
    <w:rsid w:val="00BF71D0"/>
    <w:rsid w:val="00BF7E12"/>
    <w:rsid w:val="00C044C2"/>
    <w:rsid w:val="00C156CE"/>
    <w:rsid w:val="00C77544"/>
    <w:rsid w:val="00C965C1"/>
    <w:rsid w:val="00CC2119"/>
    <w:rsid w:val="00D0106F"/>
    <w:rsid w:val="00D3317B"/>
    <w:rsid w:val="00D6509D"/>
    <w:rsid w:val="00D65C84"/>
    <w:rsid w:val="00D70F94"/>
    <w:rsid w:val="00D74729"/>
    <w:rsid w:val="00D94EBA"/>
    <w:rsid w:val="00DA2553"/>
    <w:rsid w:val="00DA4D1F"/>
    <w:rsid w:val="00DD3559"/>
    <w:rsid w:val="00DE4919"/>
    <w:rsid w:val="00DF01B7"/>
    <w:rsid w:val="00DF21F4"/>
    <w:rsid w:val="00DF2A51"/>
    <w:rsid w:val="00E0101C"/>
    <w:rsid w:val="00E0381E"/>
    <w:rsid w:val="00E107C1"/>
    <w:rsid w:val="00E364D1"/>
    <w:rsid w:val="00E4629F"/>
    <w:rsid w:val="00E46535"/>
    <w:rsid w:val="00E47CD6"/>
    <w:rsid w:val="00E720B8"/>
    <w:rsid w:val="00EA6880"/>
    <w:rsid w:val="00EB655E"/>
    <w:rsid w:val="00EC1FE0"/>
    <w:rsid w:val="00ED576B"/>
    <w:rsid w:val="00EE6F0B"/>
    <w:rsid w:val="00F008EB"/>
    <w:rsid w:val="00F03E2E"/>
    <w:rsid w:val="00F41451"/>
    <w:rsid w:val="00F61549"/>
    <w:rsid w:val="00F642D5"/>
    <w:rsid w:val="00F86E95"/>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F8F1-9C97-4AE5-9384-14DC45D3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39</Pages>
  <Words>10324</Words>
  <Characters>55753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Eder Schlosser da Silva</dc:creator>
  <cp:lastModifiedBy>Usuario</cp:lastModifiedBy>
  <cp:revision>7</cp:revision>
  <cp:lastPrinted>2018-10-25T19:58:00Z</cp:lastPrinted>
  <dcterms:created xsi:type="dcterms:W3CDTF">2018-10-23T17:22:00Z</dcterms:created>
  <dcterms:modified xsi:type="dcterms:W3CDTF">2018-10-25T19:59:00Z</dcterms:modified>
</cp:coreProperties>
</file>