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2535C">
          <w:rPr>
            <w:rFonts w:ascii="Bookman Old Style" w:hAnsi="Bookman Old Style"/>
            <w:sz w:val="24"/>
            <w:szCs w:val="24"/>
          </w:rPr>
          <w:t>41</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2535C">
          <w:rPr>
            <w:rFonts w:ascii="Bookman Old Style" w:hAnsi="Bookman Old Style"/>
            <w:sz w:val="24"/>
            <w:szCs w:val="24"/>
          </w:rPr>
          <w:t>28</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E2535C">
          <w:rPr>
            <w:rFonts w:ascii="Bookman Old Style" w:hAnsi="Bookman Old Style"/>
            <w:sz w:val="24"/>
            <w:szCs w:val="24"/>
          </w:rPr>
          <w:t>41</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E2535C">
          <w:rPr>
            <w:rFonts w:ascii="Bookman Old Style" w:hAnsi="Bookman Old Style"/>
            <w:sz w:val="24"/>
            <w:szCs w:val="24"/>
          </w:rPr>
          <w:t>28</w:t>
        </w:r>
        <w:r w:rsidR="00AC7120">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6D4BE3">
          <w:rPr>
            <w:rFonts w:ascii="Bookman Old Style" w:hAnsi="Bookman Old Style"/>
            <w:color w:val="000000" w:themeColor="text1"/>
            <w:sz w:val="24"/>
            <w:szCs w:val="24"/>
          </w:rPr>
          <w:t>08:0</w:t>
        </w:r>
        <w:r w:rsidR="00AC7120" w:rsidRPr="00D941CB">
          <w:rPr>
            <w:rFonts w:ascii="Bookman Old Style" w:hAnsi="Bookman Old Style"/>
            <w:color w:val="000000" w:themeColor="text1"/>
            <w:sz w:val="24"/>
            <w:szCs w:val="24"/>
          </w:rPr>
          <w:t>0</w:t>
        </w:r>
      </w:fldSimple>
      <w:r w:rsidR="00F45F6C">
        <w:t xml:space="preserve"> </w:t>
      </w:r>
      <w:r w:rsidR="00F45F6C" w:rsidRPr="00F45F6C">
        <w:rPr>
          <w:sz w:val="24"/>
          <w:szCs w:val="24"/>
        </w:rPr>
        <w:t>horas</w:t>
      </w:r>
      <w:r w:rsidR="00B70DDA" w:rsidRPr="00D941CB">
        <w:rPr>
          <w:rFonts w:ascii="Bookman Old Style" w:hAnsi="Bookman Old Style"/>
          <w:color w:val="000000" w:themeColor="text1"/>
          <w:sz w:val="24"/>
          <w:szCs w:val="24"/>
        </w:rPr>
        <w:t xml:space="preserve"> </w:t>
      </w:r>
      <w:r w:rsidRPr="00D941CB">
        <w:rPr>
          <w:rFonts w:ascii="Bookman Old Style" w:hAnsi="Bookman Old Style"/>
          <w:color w:val="000000" w:themeColor="text1"/>
          <w:sz w:val="24"/>
          <w:szCs w:val="24"/>
        </w:rPr>
        <w:t xml:space="preserve">do dia </w:t>
      </w:r>
      <w:fldSimple w:instr=" DOCVARIABLE &quot;DataInicioRecEnvelope&quot; \* MERGEFORMAT ">
        <w:r w:rsidR="006D4BE3">
          <w:rPr>
            <w:rFonts w:ascii="Bookman Old Style" w:hAnsi="Bookman Old Style"/>
            <w:color w:val="000000" w:themeColor="text1"/>
            <w:sz w:val="24"/>
            <w:szCs w:val="24"/>
          </w:rPr>
          <w:t>15</w:t>
        </w:r>
        <w:r w:rsidR="001801F0">
          <w:rPr>
            <w:rFonts w:ascii="Bookman Old Style" w:hAnsi="Bookman Old Style"/>
            <w:color w:val="000000" w:themeColor="text1"/>
            <w:sz w:val="24"/>
            <w:szCs w:val="24"/>
          </w:rPr>
          <w:t>/05</w:t>
        </w:r>
        <w:r w:rsidR="00AC7120" w:rsidRPr="00D941CB">
          <w:rPr>
            <w:rFonts w:ascii="Bookman Old Style" w:hAnsi="Bookman Old Style"/>
            <w:color w:val="000000" w:themeColor="text1"/>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993E86">
          <w:rPr>
            <w:rFonts w:ascii="Bookman Old Style" w:hAnsi="Bookman Old Style"/>
            <w:sz w:val="24"/>
            <w:szCs w:val="24"/>
          </w:rPr>
          <w:t>08:0</w:t>
        </w:r>
        <w:r w:rsidR="00AC7120">
          <w:rPr>
            <w:rFonts w:ascii="Bookman Old Style" w:hAnsi="Bookman Old Style"/>
            <w:sz w:val="24"/>
            <w:szCs w:val="24"/>
          </w:rPr>
          <w:t>0</w:t>
        </w:r>
      </w:fldSimple>
      <w:r w:rsidR="00AA47E4">
        <w:t>hs</w:t>
      </w:r>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590A53"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r w:rsidR="00590A53">
        <w:rPr>
          <w:rFonts w:ascii="Bookman Old Style" w:hAnsi="Bookman Old Style"/>
          <w:b/>
          <w:bCs/>
          <w:sz w:val="24"/>
          <w:szCs w:val="24"/>
        </w:rPr>
        <w:t>–</w:t>
      </w:r>
      <w:r w:rsidR="00FA53FD">
        <w:rPr>
          <w:rFonts w:ascii="Bookman Old Style" w:hAnsi="Bookman Old Style"/>
          <w:b/>
          <w:bCs/>
          <w:sz w:val="24"/>
          <w:szCs w:val="24"/>
        </w:rPr>
        <w:t xml:space="preserve"> </w:t>
      </w:r>
      <w:fldSimple w:instr=" DOCVARIABLE &quot;ObjetoLicitacao&quot; \* MERGEFORMAT ">
        <w:r w:rsidR="00993E86">
          <w:rPr>
            <w:rFonts w:ascii="Bookman Old Style" w:hAnsi="Bookman Old Style"/>
            <w:b/>
            <w:bCs/>
            <w:sz w:val="24"/>
            <w:szCs w:val="24"/>
          </w:rPr>
          <w:t>CONTRATAÇÃO DE HORAS MÁ</w:t>
        </w:r>
        <w:r w:rsidR="004926B8">
          <w:rPr>
            <w:rFonts w:ascii="Bookman Old Style" w:hAnsi="Bookman Old Style"/>
            <w:b/>
            <w:bCs/>
            <w:sz w:val="24"/>
            <w:szCs w:val="24"/>
          </w:rPr>
          <w:t>QUINAS (RE</w:t>
        </w:r>
        <w:r w:rsidR="00FA53FD" w:rsidRPr="00FA53FD">
          <w:rPr>
            <w:rFonts w:ascii="Bookman Old Style" w:hAnsi="Bookman Old Style"/>
            <w:b/>
            <w:bCs/>
            <w:sz w:val="24"/>
            <w:szCs w:val="24"/>
          </w:rPr>
          <w:t>TRO ESCAVADEIRA, ESCAVADEIRA HIDRÁULICA, COMPACTADOR DE SOLO)  E  CAMINHÃO  BASCULANTE PARA MANUTENÇÃO DOS TRABALHOS DAS SECRETARIAS DO MUNICIPIO DE SANTA TEREZINHA DO PROGRESSO/SC</w:t>
        </w:r>
      </w:fldSimple>
    </w:p>
    <w:p w:rsidR="00FA53FD" w:rsidRDefault="00FA53F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do orçamento vigente para o ano de 2018.</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2B671F">
        <w:rPr>
          <w:rFonts w:ascii="Bookman Old Style" w:hAnsi="Bookman Old Style"/>
          <w:bCs/>
          <w:sz w:val="24"/>
          <w:szCs w:val="24"/>
        </w:rPr>
        <w:t xml:space="preserve">tes no contrato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2C32C7" w:rsidP="002C32C7">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sidR="00C8028D" w:rsidRPr="002C32C7">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w:t>
      </w:r>
      <w:r w:rsidR="004D0744">
        <w:rPr>
          <w:rFonts w:ascii="Bookman Old Style" w:hAnsi="Bookman Old Style"/>
          <w:bCs/>
          <w:sz w:val="24"/>
          <w:szCs w:val="24"/>
        </w:rPr>
        <w:t>tante deverá apresentar-se a</w:t>
      </w:r>
      <w:r w:rsidRPr="00C8028D">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 xml:space="preserve">devem estar expressos os poderes para formular ou </w:t>
      </w:r>
      <w:r w:rsidR="00F771BD">
        <w:rPr>
          <w:rFonts w:ascii="Bookman Old Style" w:hAnsi="Bookman Old Style"/>
          <w:bCs/>
          <w:sz w:val="24"/>
          <w:szCs w:val="24"/>
        </w:rPr>
        <w:t>desistir de lances, recursos, a</w:t>
      </w:r>
      <w:r w:rsidRPr="00C8028D">
        <w:rPr>
          <w:rFonts w:ascii="Bookman Old Style" w:hAnsi="Bookman Old Style"/>
          <w:bCs/>
          <w:sz w:val="24"/>
          <w:szCs w:val="24"/>
        </w:rPr>
        <w:t>s</w:t>
      </w:r>
      <w:r w:rsidR="00F771BD">
        <w:rPr>
          <w:rFonts w:ascii="Bookman Old Style" w:hAnsi="Bookman Old Style"/>
          <w:bCs/>
          <w:sz w:val="24"/>
          <w:szCs w:val="24"/>
        </w:rPr>
        <w:t>s</w:t>
      </w:r>
      <w:r w:rsidRPr="00C8028D">
        <w:rPr>
          <w:rFonts w:ascii="Bookman Old Style" w:hAnsi="Bookman Old Style"/>
          <w:bCs/>
          <w:sz w:val="24"/>
          <w:szCs w:val="24"/>
        </w:rPr>
        <w:t>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 xml:space="preserve">Comprovação da condição de microempresa ou empresa de pequeno porte, mediante Certidão Simplificada da Junta Comercial </w:t>
      </w:r>
      <w:r w:rsidRPr="00C8028D">
        <w:rPr>
          <w:rFonts w:ascii="Bookman Old Style" w:hAnsi="Bookman Old Style"/>
          <w:bCs/>
          <w:sz w:val="24"/>
          <w:szCs w:val="24"/>
        </w:rPr>
        <w:lastRenderedPageBreak/>
        <w:t>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4D0744">
        <w:rPr>
          <w:rFonts w:ascii="Bookman Old Style" w:hAnsi="Bookman Old Style"/>
          <w:bCs/>
          <w:color w:val="000000" w:themeColor="text1"/>
          <w:sz w:val="24"/>
          <w:szCs w:val="24"/>
        </w:rPr>
        <w:t>ços deverá ser</w:t>
      </w:r>
      <w:r w:rsidR="00A04AC7" w:rsidRPr="00A04AC7">
        <w:rPr>
          <w:rFonts w:ascii="Bookman Old Style" w:hAnsi="Bookman Old Style"/>
          <w:bCs/>
          <w:color w:val="000000" w:themeColor="text1"/>
          <w:sz w:val="24"/>
          <w:szCs w:val="24"/>
        </w:rPr>
        <w:t xml:space="preserve">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E2535C">
          <w:rPr>
            <w:rFonts w:ascii="Bookman Old Style" w:hAnsi="Bookman Old Style"/>
            <w:b/>
            <w:sz w:val="24"/>
            <w:szCs w:val="24"/>
          </w:rPr>
          <w:t>41</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E2535C">
          <w:rPr>
            <w:rFonts w:ascii="Bookman Old Style" w:hAnsi="Bookman Old Style"/>
            <w:b/>
            <w:sz w:val="24"/>
            <w:szCs w:val="24"/>
          </w:rPr>
          <w:t>28</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104EFA" w:rsidRPr="00104EFA" w:rsidRDefault="00104EF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Pr>
          <w:rFonts w:ascii="Bookman Old Style" w:hAnsi="Bookman Old Style"/>
          <w:bCs/>
          <w:sz w:val="24"/>
          <w:szCs w:val="24"/>
        </w:rPr>
        <w:t xml:space="preserve">m todas as folhas, facultados a </w:t>
      </w:r>
      <w:r w:rsidRPr="00C8028D">
        <w:rPr>
          <w:rFonts w:ascii="Bookman Old Style" w:hAnsi="Bookman Old Style"/>
          <w:bCs/>
          <w:sz w:val="24"/>
          <w:szCs w:val="24"/>
        </w:rPr>
        <w:t xml:space="preserve">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Pr>
          <w:rFonts w:ascii="Bookman Old Style" w:hAnsi="Bookman Old Style"/>
          <w:bCs/>
          <w:sz w:val="24"/>
          <w:szCs w:val="24"/>
        </w:rPr>
        <w:t>e Santa Terezinha do Progresso, mediante documento original até o inicio da sessão deste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104EFA"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716FF3" w:rsidRDefault="00716FF3" w:rsidP="00C8028D">
      <w:pPr>
        <w:overflowPunct w:val="0"/>
        <w:autoSpaceDE w:val="0"/>
        <w:autoSpaceDN w:val="0"/>
        <w:adjustRightInd w:val="0"/>
        <w:jc w:val="both"/>
        <w:rPr>
          <w:rFonts w:ascii="Bookman Old Style" w:hAnsi="Bookman Old Style"/>
          <w:bCs/>
          <w:sz w:val="24"/>
          <w:szCs w:val="24"/>
        </w:rPr>
      </w:pPr>
    </w:p>
    <w:p w:rsidR="004F7CCB" w:rsidRDefault="004F7CCB" w:rsidP="00C8028D">
      <w:pPr>
        <w:overflowPunct w:val="0"/>
        <w:autoSpaceDE w:val="0"/>
        <w:autoSpaceDN w:val="0"/>
        <w:adjustRightInd w:val="0"/>
        <w:jc w:val="both"/>
        <w:rPr>
          <w:rFonts w:ascii="Bookman Old Style" w:hAnsi="Bookman Old Style"/>
          <w:bCs/>
          <w:sz w:val="24"/>
          <w:szCs w:val="24"/>
        </w:rPr>
      </w:pPr>
    </w:p>
    <w:p w:rsidR="004F7CCB" w:rsidRDefault="004F7CCB" w:rsidP="00C8028D">
      <w:pPr>
        <w:overflowPunct w:val="0"/>
        <w:autoSpaceDE w:val="0"/>
        <w:autoSpaceDN w:val="0"/>
        <w:adjustRightInd w:val="0"/>
        <w:jc w:val="both"/>
        <w:rPr>
          <w:rFonts w:ascii="Bookman Old Style" w:hAnsi="Bookman Old Style"/>
          <w:bCs/>
          <w:sz w:val="24"/>
          <w:szCs w:val="24"/>
        </w:rPr>
      </w:pPr>
    </w:p>
    <w:p w:rsidR="00716FF3" w:rsidRPr="00C8028D" w:rsidRDefault="00716FF3"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E2535C">
          <w:rPr>
            <w:rFonts w:ascii="Bookman Old Style" w:hAnsi="Bookman Old Style"/>
            <w:b/>
            <w:sz w:val="24"/>
            <w:szCs w:val="24"/>
          </w:rPr>
          <w:t>41</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E2535C">
          <w:rPr>
            <w:rFonts w:ascii="Bookman Old Style" w:hAnsi="Bookman Old Style"/>
            <w:b/>
            <w:sz w:val="24"/>
            <w:szCs w:val="24"/>
          </w:rPr>
          <w:t>28</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Pr>
          <w:rFonts w:ascii="Bookman Old Style" w:hAnsi="Bookman Old Style"/>
          <w:bCs/>
          <w:sz w:val="24"/>
          <w:szCs w:val="24"/>
        </w:rPr>
        <w:t>ento convocatório, com a conseqü</w:t>
      </w:r>
      <w:r w:rsidRPr="00C8028D">
        <w:rPr>
          <w:rFonts w:ascii="Bookman Old Style" w:hAnsi="Bookman Old Style"/>
          <w:bCs/>
          <w:sz w:val="24"/>
          <w:szCs w:val="24"/>
        </w:rPr>
        <w:t>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716FF3" w:rsidRDefault="00716FF3" w:rsidP="00C8028D">
      <w:pPr>
        <w:overflowPunct w:val="0"/>
        <w:autoSpaceDE w:val="0"/>
        <w:autoSpaceDN w:val="0"/>
        <w:adjustRightInd w:val="0"/>
        <w:jc w:val="both"/>
        <w:rPr>
          <w:rFonts w:ascii="Bookman Old Style" w:hAnsi="Bookman Old Style"/>
          <w:b/>
          <w:bCs/>
          <w:sz w:val="24"/>
          <w:szCs w:val="24"/>
        </w:rPr>
      </w:pPr>
    </w:p>
    <w:p w:rsidR="00716FF3" w:rsidRDefault="00716FF3"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D33ABE">
        <w:rPr>
          <w:rFonts w:ascii="Bookman Old Style" w:hAnsi="Bookman Old Style"/>
          <w:sz w:val="24"/>
          <w:szCs w:val="24"/>
        </w:rPr>
        <w:t xml:space="preserve"> Serão emitidas autorização de fornecimento de </w:t>
      </w:r>
      <w:r w:rsidRPr="00C8028D">
        <w:rPr>
          <w:rFonts w:ascii="Bookman Old Style" w:hAnsi="Bookman Old Style"/>
          <w:sz w:val="24"/>
          <w:szCs w:val="24"/>
        </w:rPr>
        <w:t xml:space="preserv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w:t>
      </w:r>
      <w:r w:rsidRPr="00C8028D">
        <w:rPr>
          <w:rFonts w:ascii="Bookman Old Style" w:hAnsi="Bookman Old Style"/>
          <w:sz w:val="24"/>
          <w:szCs w:val="24"/>
        </w:rPr>
        <w:lastRenderedPageBreak/>
        <w:t>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F0391B">
        <w:rPr>
          <w:rFonts w:ascii="Bookman Old Style" w:hAnsi="Bookman Old Style"/>
          <w:sz w:val="24"/>
          <w:szCs w:val="24"/>
        </w:rPr>
        <w:t>Após a entrega dos serviços</w:t>
      </w:r>
      <w:r w:rsidRPr="00C8028D">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16.1</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Se o objeto ou parte dele não corresponder à descrição solicitada, ou ainda, a qualidade for comprovadamente inferio</w:t>
      </w:r>
      <w:r>
        <w:rPr>
          <w:rFonts w:ascii="Bookman Old Style" w:hAnsi="Bookman Old Style"/>
          <w:sz w:val="24"/>
          <w:szCs w:val="24"/>
        </w:rPr>
        <w:t>r aos serviços</w:t>
      </w:r>
      <w:r w:rsidR="00C8028D" w:rsidRPr="00C8028D">
        <w:rPr>
          <w:rFonts w:ascii="Bookman Old Style" w:hAnsi="Bookman Old Style"/>
          <w:sz w:val="24"/>
          <w:szCs w:val="24"/>
        </w:rPr>
        <w:t xml:space="preserve"> exis</w:t>
      </w:r>
      <w:r w:rsidR="00FA3F5A">
        <w:rPr>
          <w:rFonts w:ascii="Bookman Old Style" w:hAnsi="Bookman Old Style"/>
          <w:sz w:val="24"/>
          <w:szCs w:val="24"/>
        </w:rPr>
        <w:t xml:space="preserve">tentes no mercado, a detentora </w:t>
      </w:r>
      <w:r w:rsidR="00C8028D" w:rsidRPr="00C8028D">
        <w:rPr>
          <w:rFonts w:ascii="Bookman Old Style" w:hAnsi="Bookman Old Style"/>
          <w:sz w:val="24"/>
          <w:szCs w:val="24"/>
        </w:rPr>
        <w:t xml:space="preserve">deverá </w:t>
      </w:r>
      <w:r>
        <w:rPr>
          <w:rFonts w:ascii="Bookman Old Style" w:hAnsi="Bookman Old Style"/>
          <w:sz w:val="24"/>
          <w:szCs w:val="24"/>
        </w:rPr>
        <w:t>refazer o serviço</w:t>
      </w:r>
      <w:r w:rsidR="00C8028D" w:rsidRPr="00C8028D">
        <w:rPr>
          <w:rFonts w:ascii="Bookman Old Style" w:hAnsi="Bookman Old Style"/>
          <w:sz w:val="24"/>
          <w:szCs w:val="24"/>
        </w:rPr>
        <w:t xml:space="preserve"> (em até </w:t>
      </w:r>
      <w:r w:rsidR="00D93BE0">
        <w:rPr>
          <w:rFonts w:ascii="Bookman Old Style" w:hAnsi="Bookman Old Style"/>
          <w:sz w:val="24"/>
          <w:szCs w:val="24"/>
        </w:rPr>
        <w:t>24</w:t>
      </w:r>
      <w:r w:rsidR="00C8028D" w:rsidRPr="00C8028D">
        <w:rPr>
          <w:rFonts w:ascii="Bookman Old Style" w:hAnsi="Bookman Old Style"/>
          <w:sz w:val="24"/>
          <w:szCs w:val="24"/>
        </w:rPr>
        <w:t xml:space="preserve"> horas), podendo ser responsabilizada pelo ocorrido, ficando sujeita as penalidades constantes na Lei e neste Edital.</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16.2</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Sendo necessário</w:t>
      </w:r>
      <w:r w:rsidR="00D93BE0">
        <w:rPr>
          <w:rFonts w:ascii="Bookman Old Style" w:hAnsi="Bookman Old Style"/>
          <w:sz w:val="24"/>
          <w:szCs w:val="24"/>
        </w:rPr>
        <w:t xml:space="preserve"> </w:t>
      </w:r>
      <w:r w:rsidR="00C8028D" w:rsidRPr="00C8028D">
        <w:rPr>
          <w:rFonts w:ascii="Bookman Old Style" w:hAnsi="Bookman Old Style"/>
          <w:sz w:val="24"/>
          <w:szCs w:val="24"/>
        </w:rPr>
        <w:t xml:space="preserve"> a troca do obje</w:t>
      </w:r>
      <w:r w:rsidR="00A30828">
        <w:rPr>
          <w:rFonts w:ascii="Bookman Old Style" w:hAnsi="Bookman Old Style"/>
          <w:sz w:val="24"/>
          <w:szCs w:val="24"/>
        </w:rPr>
        <w:t>to desta licitação, a detentora</w:t>
      </w:r>
      <w:r w:rsidR="00C8028D"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16.3</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O atraso injustificado na entrega do objeto ou na troca deste quando solicitado pela Administração, caracteriza-se como inexecuçã</w:t>
      </w:r>
      <w:r>
        <w:rPr>
          <w:rFonts w:ascii="Bookman Old Style" w:hAnsi="Bookman Old Style"/>
          <w:sz w:val="24"/>
          <w:szCs w:val="24"/>
        </w:rPr>
        <w:t>o total ou parcial da ata de registro de preço</w:t>
      </w:r>
      <w:r w:rsidR="00C8028D"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136B99">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6B369B">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0438F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w:t>
      </w:r>
      <w:r w:rsidRPr="00C8028D">
        <w:rPr>
          <w:rFonts w:ascii="Bookman Old Style" w:hAnsi="Bookman Old Style"/>
          <w:bCs/>
          <w:sz w:val="24"/>
          <w:szCs w:val="24"/>
        </w:rPr>
        <w:lastRenderedPageBreak/>
        <w:t>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EC35A7" w:rsidRPr="00C8028D" w:rsidRDefault="00EC35A7"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EC35A7">
          <w:rPr>
            <w:rFonts w:ascii="Bookman Old Style" w:hAnsi="Bookman Old Style"/>
            <w:sz w:val="24"/>
            <w:szCs w:val="24"/>
          </w:rPr>
          <w:t>27</w:t>
        </w:r>
        <w:r w:rsidR="00AC7120">
          <w:rPr>
            <w:rFonts w:ascii="Bookman Old Style" w:hAnsi="Bookman Old Style"/>
            <w:sz w:val="24"/>
            <w:szCs w:val="24"/>
          </w:rPr>
          <w:t xml:space="preserve"> de Abril de 2018</w:t>
        </w:r>
      </w:fldSimple>
      <w:r w:rsidRPr="00C8028D">
        <w:rPr>
          <w:rFonts w:ascii="Bookman Old Style" w:hAnsi="Bookman Old Style"/>
          <w:sz w:val="24"/>
          <w:szCs w:val="24"/>
        </w:rPr>
        <w:t>.</w:t>
      </w:r>
    </w:p>
    <w:p w:rsidR="001076D1" w:rsidRDefault="001076D1" w:rsidP="00C8028D">
      <w:pPr>
        <w:overflowPunct w:val="0"/>
        <w:autoSpaceDE w:val="0"/>
        <w:autoSpaceDN w:val="0"/>
        <w:adjustRightInd w:val="0"/>
        <w:jc w:val="both"/>
        <w:rPr>
          <w:rFonts w:ascii="Bookman Old Style" w:hAnsi="Bookman Old Style"/>
          <w:sz w:val="24"/>
          <w:szCs w:val="24"/>
        </w:rPr>
      </w:pPr>
    </w:p>
    <w:p w:rsidR="001076D1" w:rsidRDefault="001076D1" w:rsidP="00C8028D">
      <w:pPr>
        <w:overflowPunct w:val="0"/>
        <w:autoSpaceDE w:val="0"/>
        <w:autoSpaceDN w:val="0"/>
        <w:adjustRightInd w:val="0"/>
        <w:jc w:val="both"/>
        <w:rPr>
          <w:rFonts w:ascii="Bookman Old Style" w:hAnsi="Bookman Old Style"/>
          <w:sz w:val="24"/>
          <w:szCs w:val="24"/>
        </w:rPr>
      </w:pPr>
    </w:p>
    <w:p w:rsidR="00C8028D" w:rsidRPr="00C8028D" w:rsidRDefault="004D0744" w:rsidP="00EC35A7">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w:t>
      </w:r>
      <w:r w:rsidR="00C8028D" w:rsidRPr="00C8028D">
        <w:rPr>
          <w:rFonts w:ascii="Bookman Old Style" w:hAnsi="Bookman Old Style"/>
          <w:sz w:val="24"/>
          <w:szCs w:val="24"/>
        </w:rPr>
        <w:t>_______________________________</w:t>
      </w:r>
    </w:p>
    <w:p w:rsidR="00C8028D" w:rsidRPr="00CC3AEC" w:rsidRDefault="00331A31"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7C0694" w:rsidRDefault="00331A31" w:rsidP="00C8028D">
      <w:pPr>
        <w:jc w:val="both"/>
      </w:pPr>
      <w:fldSimple w:instr=" DOCVARIABLE &quot;CargoTitular&quot; \* MERGEFORMAT ">
        <w:r w:rsidR="00AC7120">
          <w:rPr>
            <w:rFonts w:ascii="Bookman Old Style" w:hAnsi="Bookman Old Style"/>
            <w:sz w:val="24"/>
            <w:szCs w:val="24"/>
          </w:rPr>
          <w:t>PREFEITO MUNICIPAL</w:t>
        </w:r>
      </w:fldSimple>
    </w:p>
    <w:p w:rsidR="007C0694" w:rsidRDefault="007C0694"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1076D1" w:rsidRPr="00CC3AEC" w:rsidRDefault="001076D1" w:rsidP="00C8028D">
      <w:pPr>
        <w:jc w:val="both"/>
        <w:rPr>
          <w:rFonts w:ascii="Bookman Old Style" w:hAnsi="Bookman Old Style"/>
          <w:sz w:val="24"/>
          <w:szCs w:val="24"/>
        </w:rPr>
      </w:pPr>
    </w:p>
    <w:p w:rsidR="00CC3AEC" w:rsidRDefault="00CC3AEC" w:rsidP="00C8028D">
      <w:pPr>
        <w:jc w:val="both"/>
        <w:rPr>
          <w:rFonts w:ascii="Bookman Old Style" w:hAnsi="Bookman Old Style"/>
          <w:b/>
          <w:sz w:val="24"/>
          <w:szCs w:val="24"/>
        </w:rPr>
      </w:pPr>
    </w:p>
    <w:p w:rsidR="00C8028D"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090310" w:rsidRPr="00C8028D" w:rsidRDefault="00090310" w:rsidP="00CC3AEC">
      <w:pPr>
        <w:jc w:val="center"/>
        <w:rPr>
          <w:rFonts w:ascii="Bookman Old Style" w:hAnsi="Bookman Old Style"/>
          <w:b/>
          <w:sz w:val="24"/>
          <w:szCs w:val="24"/>
        </w:rPr>
      </w:pP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2535C">
          <w:rPr>
            <w:rFonts w:ascii="Bookman Old Style" w:hAnsi="Bookman Old Style"/>
            <w:sz w:val="24"/>
            <w:szCs w:val="24"/>
          </w:rPr>
          <w:t>41</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2535C">
          <w:rPr>
            <w:rFonts w:ascii="Bookman Old Style" w:hAnsi="Bookman Old Style"/>
            <w:sz w:val="24"/>
            <w:szCs w:val="24"/>
          </w:rPr>
          <w:t>28</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1076D1" w:rsidP="001076D1">
      <w:pPr>
        <w:rPr>
          <w:rFonts w:ascii="Bookman Old Style" w:hAnsi="Bookman Old Style"/>
          <w:b/>
          <w:sz w:val="24"/>
          <w:szCs w:val="24"/>
        </w:rPr>
      </w:pPr>
      <w:r>
        <w:rPr>
          <w:rFonts w:ascii="Bookman Old Style" w:hAnsi="Bookman Old Style"/>
          <w:b/>
          <w:sz w:val="24"/>
          <w:szCs w:val="24"/>
        </w:rPr>
        <w:t xml:space="preserve">                              </w:t>
      </w:r>
      <w:r w:rsidR="00333E80"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4E02D4" w:rsidRPr="004962A4" w:rsidRDefault="00C8028D" w:rsidP="004E02D4">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rPr>
        <w:t>1.</w:t>
      </w:r>
      <w:r w:rsidR="004962A4">
        <w:rPr>
          <w:rFonts w:ascii="Bookman Old Style" w:hAnsi="Bookman Old Style"/>
          <w:b/>
          <w:sz w:val="24"/>
          <w:szCs w:val="24"/>
        </w:rPr>
        <w:t xml:space="preserve"> </w:t>
      </w:r>
      <w:r w:rsidRPr="00C8028D">
        <w:rPr>
          <w:rFonts w:ascii="Bookman Old Style" w:hAnsi="Bookman Old Style"/>
          <w:sz w:val="24"/>
          <w:szCs w:val="24"/>
        </w:rPr>
        <w:t xml:space="preserve"> </w:t>
      </w:r>
      <w:fldSimple w:instr=" DOCVARIABLE &quot;ObjetoLicitacao&quot; \* MERGEFORMAT ">
        <w:r w:rsidR="00993E86">
          <w:rPr>
            <w:rFonts w:ascii="Bookman Old Style" w:hAnsi="Bookman Old Style"/>
            <w:b/>
            <w:sz w:val="24"/>
            <w:szCs w:val="24"/>
          </w:rPr>
          <w:t>CONTRATAÇÃO DE HORAS MÁ</w:t>
        </w:r>
        <w:r w:rsidR="000A34F2">
          <w:rPr>
            <w:rFonts w:ascii="Bookman Old Style" w:hAnsi="Bookman Old Style"/>
            <w:b/>
            <w:sz w:val="24"/>
            <w:szCs w:val="24"/>
          </w:rPr>
          <w:t>QUINAS (RE</w:t>
        </w:r>
        <w:r w:rsidR="004962A4" w:rsidRPr="004962A4">
          <w:rPr>
            <w:rFonts w:ascii="Bookman Old Style" w:hAnsi="Bookman Old Style"/>
            <w:b/>
            <w:sz w:val="24"/>
            <w:szCs w:val="24"/>
          </w:rPr>
          <w:t>TRO ESCAVADEIRA, ESCAVADEIRA HIDRÁULICA, COMPACTADOR DE SOLO)  E  CAMINHÃO  BASCULANTE PARA MANUTENÇÃO DOS TRABALHOS DAS SECRETARIAS DO MUNICIPIO DE SANTA TEREZINHA DO PROGRESSO/SC</w:t>
        </w:r>
      </w:fldSimple>
    </w:p>
    <w:p w:rsidR="00C8028D" w:rsidRPr="001076D1" w:rsidRDefault="004E02D4" w:rsidP="00C8028D">
      <w:pPr>
        <w:overflowPunct w:val="0"/>
        <w:autoSpaceDE w:val="0"/>
        <w:autoSpaceDN w:val="0"/>
        <w:adjustRightInd w:val="0"/>
        <w:jc w:val="both"/>
        <w:rPr>
          <w:sz w:val="24"/>
          <w:szCs w:val="24"/>
        </w:rPr>
      </w:pPr>
      <w:r>
        <w:rPr>
          <w:sz w:val="24"/>
          <w:szCs w:val="24"/>
        </w:rPr>
        <w:t>D</w:t>
      </w:r>
      <w:r w:rsidR="00302A2B" w:rsidRPr="004E02D4">
        <w:rPr>
          <w:sz w:val="24"/>
          <w:szCs w:val="24"/>
        </w:rPr>
        <w:t>e acordo com a(s) especificação(ões) e quantidade(s) abaixo discriminada(s):</w:t>
      </w:r>
    </w:p>
    <w:p w:rsidR="00C440E0" w:rsidRDefault="00C440E0"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tbl>
      <w:tblPr>
        <w:tblpPr w:leftFromText="141" w:rightFromText="141" w:vertAnchor="text" w:horzAnchor="margin" w:tblpXSpec="center" w:tblpY="197"/>
        <w:tblW w:w="932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6"/>
        <w:gridCol w:w="1295"/>
        <w:gridCol w:w="750"/>
        <w:gridCol w:w="788"/>
        <w:gridCol w:w="3314"/>
        <w:gridCol w:w="1363"/>
        <w:gridCol w:w="1245"/>
      </w:tblGrid>
      <w:tr w:rsidR="00F0391B" w:rsidTr="00F0391B">
        <w:trPr>
          <w:trHeight w:val="522"/>
        </w:trPr>
        <w:tc>
          <w:tcPr>
            <w:tcW w:w="566"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95"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50"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88"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3314"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363"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45"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F0391B" w:rsidTr="00F0391B">
        <w:trPr>
          <w:trHeight w:val="784"/>
        </w:trPr>
        <w:tc>
          <w:tcPr>
            <w:tcW w:w="566"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295"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750"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788"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rPr>
                <w:rFonts w:asciiTheme="minorHAnsi" w:eastAsiaTheme="minorHAnsi" w:hAnsiTheme="minorHAnsi"/>
                <w:sz w:val="22"/>
                <w:szCs w:val="22"/>
                <w:lang w:eastAsia="en-US"/>
              </w:rPr>
            </w:pPr>
          </w:p>
        </w:tc>
        <w:tc>
          <w:tcPr>
            <w:tcW w:w="3314"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Terceirização de caminhão basculante com capacidade de carga mínima de 14m³, ano mínimo de fabricação 2011. </w:t>
            </w:r>
          </w:p>
        </w:tc>
        <w:tc>
          <w:tcPr>
            <w:tcW w:w="1363"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 xml:space="preserve">163,00 </w:t>
            </w:r>
          </w:p>
        </w:tc>
        <w:tc>
          <w:tcPr>
            <w:tcW w:w="1245"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48900,00</w:t>
            </w:r>
          </w:p>
        </w:tc>
      </w:tr>
      <w:tr w:rsidR="00F0391B" w:rsidTr="00F0391B">
        <w:trPr>
          <w:trHeight w:val="504"/>
        </w:trPr>
        <w:tc>
          <w:tcPr>
            <w:tcW w:w="566"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295"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750"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788"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rPr>
                <w:rFonts w:asciiTheme="minorHAnsi" w:eastAsiaTheme="minorHAnsi" w:hAnsiTheme="minorHAnsi"/>
                <w:sz w:val="22"/>
                <w:szCs w:val="22"/>
                <w:lang w:eastAsia="en-US"/>
              </w:rPr>
            </w:pPr>
          </w:p>
        </w:tc>
        <w:tc>
          <w:tcPr>
            <w:tcW w:w="3314"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Terceirização de Retroescavadeira 4x4 ano mínimo de fabricação 2011</w:t>
            </w:r>
          </w:p>
        </w:tc>
        <w:tc>
          <w:tcPr>
            <w:tcW w:w="1363"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 xml:space="preserve">156,00 </w:t>
            </w:r>
          </w:p>
        </w:tc>
        <w:tc>
          <w:tcPr>
            <w:tcW w:w="1245"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46800,00</w:t>
            </w:r>
          </w:p>
        </w:tc>
      </w:tr>
      <w:tr w:rsidR="00F0391B" w:rsidTr="00F0391B">
        <w:trPr>
          <w:trHeight w:val="1046"/>
        </w:trPr>
        <w:tc>
          <w:tcPr>
            <w:tcW w:w="566"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295"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750"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788"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rPr>
                <w:rFonts w:asciiTheme="minorHAnsi" w:eastAsiaTheme="minorHAnsi" w:hAnsiTheme="minorHAnsi"/>
                <w:sz w:val="22"/>
                <w:szCs w:val="22"/>
                <w:lang w:eastAsia="en-US"/>
              </w:rPr>
            </w:pPr>
          </w:p>
        </w:tc>
        <w:tc>
          <w:tcPr>
            <w:tcW w:w="3314"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Terceirização de Escavadeira Hidráulica com peso operacional mínimo de 21.000 Kg potência mínima do motor de 170 hp e ano mínimo de fabricação 2011</w:t>
            </w:r>
          </w:p>
        </w:tc>
        <w:tc>
          <w:tcPr>
            <w:tcW w:w="1363"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 xml:space="preserve">267,00 </w:t>
            </w:r>
          </w:p>
        </w:tc>
        <w:tc>
          <w:tcPr>
            <w:tcW w:w="1245"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80100,00</w:t>
            </w:r>
          </w:p>
        </w:tc>
      </w:tr>
      <w:tr w:rsidR="00F0391B" w:rsidTr="00F0391B">
        <w:trPr>
          <w:trHeight w:val="1046"/>
        </w:trPr>
        <w:tc>
          <w:tcPr>
            <w:tcW w:w="566"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295"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750"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788"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rPr>
                <w:rFonts w:asciiTheme="minorHAnsi" w:eastAsiaTheme="minorHAnsi" w:hAnsiTheme="minorHAnsi"/>
                <w:sz w:val="22"/>
                <w:szCs w:val="22"/>
                <w:lang w:eastAsia="en-US"/>
              </w:rPr>
            </w:pPr>
          </w:p>
        </w:tc>
        <w:tc>
          <w:tcPr>
            <w:tcW w:w="3314"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Terceirização de Compactador de Solo com capacidade de compactação de no mínimo de 27.000 Kg e ano mínimo de fabricação 2011</w:t>
            </w:r>
          </w:p>
        </w:tc>
        <w:tc>
          <w:tcPr>
            <w:tcW w:w="1363"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 xml:space="preserve">223,00 </w:t>
            </w:r>
          </w:p>
        </w:tc>
        <w:tc>
          <w:tcPr>
            <w:tcW w:w="1245"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line="276" w:lineRule="auto"/>
              <w:jc w:val="right"/>
              <w:rPr>
                <w:rFonts w:ascii="Arial" w:hAnsi="Arial" w:cs="Arial"/>
                <w:sz w:val="15"/>
                <w:szCs w:val="15"/>
                <w:lang w:eastAsia="en-US"/>
              </w:rPr>
            </w:pPr>
            <w:r>
              <w:rPr>
                <w:rFonts w:ascii="Arial" w:hAnsi="Arial" w:cs="Arial"/>
                <w:sz w:val="15"/>
                <w:szCs w:val="15"/>
                <w:lang w:eastAsia="en-US"/>
              </w:rPr>
              <w:t>66900,00</w:t>
            </w:r>
          </w:p>
        </w:tc>
      </w:tr>
      <w:tr w:rsidR="00F0391B" w:rsidTr="00F0391B">
        <w:trPr>
          <w:trHeight w:val="552"/>
        </w:trPr>
        <w:tc>
          <w:tcPr>
            <w:tcW w:w="8076" w:type="dxa"/>
            <w:gridSpan w:val="6"/>
            <w:tcBorders>
              <w:top w:val="single" w:sz="4" w:space="0" w:color="auto"/>
              <w:left w:val="single" w:sz="4" w:space="0" w:color="auto"/>
              <w:bottom w:val="single" w:sz="4" w:space="0" w:color="auto"/>
              <w:right w:val="single" w:sz="4" w:space="0" w:color="auto"/>
            </w:tcBorders>
            <w:hideMark/>
          </w:tcPr>
          <w:p w:rsidR="00F0391B" w:rsidRDefault="00F0391B" w:rsidP="00F0391B">
            <w:pPr>
              <w:pStyle w:val="Ttulo1"/>
              <w:spacing w:line="276" w:lineRule="auto"/>
              <w:jc w:val="right"/>
              <w:rPr>
                <w:rFonts w:ascii="Arial" w:eastAsia="Times New Roman" w:hAnsi="Arial" w:cs="Arial"/>
              </w:rPr>
            </w:pPr>
            <w:r>
              <w:rPr>
                <w:rFonts w:ascii="Arial" w:hAnsi="Arial" w:cs="Arial"/>
                <w:sz w:val="16"/>
                <w:szCs w:val="24"/>
                <w:lang w:val="es-ES_tradnl"/>
              </w:rPr>
              <w:t>Total</w:t>
            </w:r>
          </w:p>
        </w:tc>
        <w:tc>
          <w:tcPr>
            <w:tcW w:w="1245" w:type="dxa"/>
            <w:tcBorders>
              <w:top w:val="single" w:sz="4" w:space="0" w:color="auto"/>
              <w:left w:val="single" w:sz="4" w:space="0" w:color="auto"/>
              <w:bottom w:val="single" w:sz="4" w:space="0" w:color="auto"/>
              <w:right w:val="single" w:sz="4" w:space="0" w:color="auto"/>
            </w:tcBorders>
            <w:hideMark/>
          </w:tcPr>
          <w:p w:rsidR="00F0391B" w:rsidRDefault="00F0391B" w:rsidP="00F0391B">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242.700,00 </w:t>
            </w:r>
          </w:p>
        </w:tc>
      </w:tr>
    </w:tbl>
    <w:p w:rsidR="001076D1" w:rsidRPr="001076D1" w:rsidRDefault="001076D1" w:rsidP="001076D1">
      <w:pPr>
        <w:spacing w:line="276" w:lineRule="auto"/>
        <w:rPr>
          <w:rFonts w:ascii="Bookman Old Style" w:hAnsi="Bookman Old Style" w:cs="MoolBoran"/>
          <w:sz w:val="24"/>
          <w:szCs w:val="24"/>
        </w:rPr>
      </w:pPr>
    </w:p>
    <w:p w:rsidR="00AC7120" w:rsidRPr="001076D1" w:rsidRDefault="00AC7120" w:rsidP="001076D1">
      <w:pPr>
        <w:spacing w:line="276" w:lineRule="auto"/>
        <w:rPr>
          <w:rFonts w:ascii="Bookman Old Style" w:hAnsi="Bookman Old Style" w:cs="MoolBoran"/>
          <w:sz w:val="24"/>
          <w:szCs w:val="24"/>
        </w:rPr>
      </w:pPr>
    </w:p>
    <w:p w:rsidR="00AC7120" w:rsidRPr="00C8028D" w:rsidRDefault="00AC7120" w:rsidP="00C8028D">
      <w:pPr>
        <w:overflowPunct w:val="0"/>
        <w:autoSpaceDE w:val="0"/>
        <w:autoSpaceDN w:val="0"/>
        <w:adjustRightInd w:val="0"/>
        <w:jc w:val="both"/>
        <w:rPr>
          <w:rFonts w:ascii="Bookman Old Style" w:hAnsi="Bookman Old Style"/>
          <w:b/>
          <w:bCs/>
          <w:sz w:val="24"/>
          <w:szCs w:val="24"/>
        </w:rPr>
      </w:pPr>
    </w:p>
    <w:p w:rsidR="00182550" w:rsidRDefault="00C8028D" w:rsidP="00BB1CEC">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2. JUSTIFICATIVA:</w:t>
      </w:r>
      <w:r w:rsidR="00182550">
        <w:rPr>
          <w:rFonts w:ascii="Bookman Old Style" w:hAnsi="Bookman Old Style"/>
          <w:b/>
          <w:sz w:val="24"/>
          <w:szCs w:val="24"/>
        </w:rPr>
        <w:t xml:space="preserve"> </w:t>
      </w:r>
      <w:r w:rsidR="00182550" w:rsidRPr="00182550">
        <w:rPr>
          <w:rFonts w:ascii="Bookman Old Style" w:hAnsi="Bookman Old Style"/>
          <w:sz w:val="24"/>
          <w:szCs w:val="24"/>
        </w:rPr>
        <w:t>Aquisição destes serviços</w:t>
      </w:r>
      <w:r w:rsidR="002C32C7">
        <w:rPr>
          <w:rFonts w:ascii="Bookman Old Style" w:hAnsi="Bookman Old Style"/>
          <w:bCs/>
          <w:sz w:val="24"/>
          <w:szCs w:val="24"/>
        </w:rPr>
        <w:t xml:space="preserve"> </w:t>
      </w:r>
      <w:r w:rsidR="00182550">
        <w:rPr>
          <w:rFonts w:ascii="Bookman Old Style" w:hAnsi="Bookman Old Style"/>
          <w:bCs/>
          <w:sz w:val="24"/>
          <w:szCs w:val="24"/>
        </w:rPr>
        <w:t xml:space="preserve">tem em vista as necessidades de reparação em vias públicas, (estradas vicinais), </w:t>
      </w:r>
      <w:r w:rsidR="00182550">
        <w:rPr>
          <w:rFonts w:ascii="Bookman Old Style" w:hAnsi="Bookman Old Style"/>
          <w:bCs/>
          <w:sz w:val="24"/>
          <w:szCs w:val="24"/>
        </w:rPr>
        <w:lastRenderedPageBreak/>
        <w:t>principalmente as estradas que atendem a demanda de produção agropecuária e leiteira do município de Santa Terezinha do Progresso- SC. Assim se faz necessário a pretendida aquisição dos serviços para que proporcione as condições necessárias, bem como atender aos preceitos legais dos direitos de ir e vir dos munícipes.</w:t>
      </w:r>
    </w:p>
    <w:p w:rsidR="00C8028D" w:rsidRPr="00C8028D" w:rsidRDefault="00182550" w:rsidP="00BB1CEC">
      <w:pPr>
        <w:overflowPunct w:val="0"/>
        <w:autoSpaceDE w:val="0"/>
        <w:autoSpaceDN w:val="0"/>
        <w:adjustRightInd w:val="0"/>
        <w:jc w:val="both"/>
        <w:rPr>
          <w:rFonts w:ascii="Bookman Old Style" w:hAnsi="Bookman Old Style"/>
          <w:b/>
          <w:sz w:val="24"/>
          <w:szCs w:val="24"/>
        </w:rPr>
      </w:pPr>
      <w:r>
        <w:rPr>
          <w:rFonts w:ascii="Bookman Old Style" w:hAnsi="Bookman Old Style"/>
          <w:bCs/>
          <w:sz w:val="24"/>
          <w:szCs w:val="24"/>
        </w:rPr>
        <w:t xml:space="preserve"> </w:t>
      </w: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4F7CCB" w:rsidRPr="004F7CCB" w:rsidRDefault="00C8028D" w:rsidP="004F7CCB">
      <w:pPr>
        <w:jc w:val="both"/>
        <w:rPr>
          <w:rFonts w:ascii="Bookman Old Style" w:hAnsi="Bookman Old Style"/>
          <w:sz w:val="24"/>
          <w:szCs w:val="24"/>
        </w:rPr>
      </w:pPr>
      <w:r w:rsidRPr="004F7CCB">
        <w:rPr>
          <w:rFonts w:ascii="Bookman Old Style" w:hAnsi="Bookman Old Style"/>
          <w:sz w:val="24"/>
          <w:szCs w:val="24"/>
        </w:rPr>
        <w:t>3.1.</w:t>
      </w:r>
      <w:r w:rsidR="00C70976" w:rsidRPr="004F7CCB">
        <w:rPr>
          <w:rFonts w:ascii="Bookman Old Style" w:hAnsi="Bookman Old Style"/>
          <w:sz w:val="24"/>
          <w:szCs w:val="24"/>
        </w:rPr>
        <w:t xml:space="preserve"> A detentora</w:t>
      </w:r>
      <w:r w:rsidR="00567E41">
        <w:rPr>
          <w:rFonts w:ascii="Bookman Old Style" w:hAnsi="Bookman Old Style"/>
          <w:sz w:val="24"/>
          <w:szCs w:val="24"/>
        </w:rPr>
        <w:t xml:space="preserve"> devera garantir o</w:t>
      </w:r>
      <w:r w:rsidR="004F7CCB" w:rsidRPr="004F7CCB">
        <w:rPr>
          <w:rFonts w:ascii="Bookman Old Style" w:hAnsi="Bookman Old Style"/>
          <w:sz w:val="24"/>
          <w:szCs w:val="24"/>
        </w:rPr>
        <w:t xml:space="preserve"> objeto desta licitação, dentro das normas legais, agindo dentro da ética e probidade necessárias nas contratações públicas.</w:t>
      </w:r>
    </w:p>
    <w:p w:rsidR="00C8028D" w:rsidRPr="004F7CCB"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C8028D" w:rsidRDefault="00C8028D" w:rsidP="00C8028D">
      <w:pPr>
        <w:overflowPunct w:val="0"/>
        <w:autoSpaceDE w:val="0"/>
        <w:autoSpaceDN w:val="0"/>
        <w:adjustRightInd w:val="0"/>
        <w:jc w:val="both"/>
        <w:rPr>
          <w:rFonts w:ascii="Bookman Old Style" w:hAnsi="Bookman Old Style"/>
          <w:bCs/>
          <w:sz w:val="24"/>
          <w:szCs w:val="24"/>
        </w:rPr>
      </w:pPr>
    </w:p>
    <w:p w:rsidR="004D0744" w:rsidRPr="00C8028D" w:rsidRDefault="004D0744" w:rsidP="004D0744">
      <w:pPr>
        <w:overflowPunct w:val="0"/>
        <w:autoSpaceDE w:val="0"/>
        <w:autoSpaceDN w:val="0"/>
        <w:adjustRightInd w:val="0"/>
        <w:jc w:val="both"/>
        <w:rPr>
          <w:rFonts w:ascii="Bookman Old Style" w:hAnsi="Bookman Old Style"/>
          <w:b/>
          <w:sz w:val="24"/>
          <w:szCs w:val="24"/>
        </w:rPr>
      </w:pPr>
      <w:r w:rsidRPr="004D0744">
        <w:rPr>
          <w:rFonts w:ascii="Bookman Old Style" w:hAnsi="Bookman Old Style"/>
          <w:b/>
          <w:bCs/>
          <w:sz w:val="24"/>
          <w:szCs w:val="24"/>
        </w:rPr>
        <w:t>5.1</w:t>
      </w:r>
      <w:r>
        <w:rPr>
          <w:rFonts w:ascii="Bookman Old Style" w:hAnsi="Bookman Old Style"/>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4D0744" w:rsidRDefault="004D0744" w:rsidP="00C8028D">
      <w:pPr>
        <w:overflowPunct w:val="0"/>
        <w:autoSpaceDE w:val="0"/>
        <w:autoSpaceDN w:val="0"/>
        <w:adjustRightInd w:val="0"/>
        <w:jc w:val="both"/>
        <w:rPr>
          <w:rFonts w:ascii="Bookman Old Style" w:hAnsi="Bookman Old Style"/>
          <w:bCs/>
          <w:sz w:val="24"/>
          <w:szCs w:val="24"/>
        </w:rPr>
      </w:pPr>
    </w:p>
    <w:p w:rsidR="00CC3AEC" w:rsidRPr="00C8028D" w:rsidRDefault="00CC3AEC" w:rsidP="00AC7120">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FB4441">
        <w:rPr>
          <w:rFonts w:ascii="Bookman Old Style" w:hAnsi="Bookman Old Style"/>
          <w:bCs/>
          <w:sz w:val="24"/>
          <w:szCs w:val="24"/>
        </w:rPr>
        <w:t>o CONTRATO e</w:t>
      </w:r>
      <w:r w:rsidR="00E574EE">
        <w:rPr>
          <w:rFonts w:ascii="Bookman Old Style" w:hAnsi="Bookman Old Style"/>
          <w:bCs/>
          <w:sz w:val="24"/>
          <w:szCs w:val="24"/>
        </w:rPr>
        <w:t>/ou</w:t>
      </w:r>
      <w:r w:rsidR="00FB4441">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00F0391B">
        <w:rPr>
          <w:rFonts w:ascii="Bookman Old Style" w:hAnsi="Bookman Old Style"/>
          <w:sz w:val="24"/>
          <w:szCs w:val="24"/>
        </w:rPr>
        <w:t xml:space="preserve"> executar os serviços determinado na autorização de fornecimento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w:t>
      </w:r>
      <w:r w:rsidR="002773E2">
        <w:rPr>
          <w:rFonts w:ascii="Bookman Old Style" w:hAnsi="Bookman Old Style"/>
          <w:sz w:val="24"/>
          <w:szCs w:val="24"/>
        </w:rPr>
        <w:t xml:space="preserve"> deverá ser entregue  conforme solicitação </w:t>
      </w:r>
      <w:r w:rsidRPr="00C8028D">
        <w:rPr>
          <w:rFonts w:ascii="Bookman Old Style" w:hAnsi="Bookman Old Style"/>
          <w:sz w:val="24"/>
          <w:szCs w:val="24"/>
        </w:rPr>
        <w:t xml:space="preserve">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F0391B">
        <w:rPr>
          <w:rFonts w:ascii="Bookman Old Style" w:hAnsi="Bookman Old Style"/>
          <w:b/>
          <w:sz w:val="24"/>
          <w:szCs w:val="24"/>
        </w:rPr>
        <w:t>. LOCAL DA ENTREGA DOS SERVIÇOS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w:t>
      </w:r>
      <w:r w:rsidR="00F0391B">
        <w:rPr>
          <w:rFonts w:ascii="Bookman Old Style" w:hAnsi="Bookman Old Style"/>
          <w:sz w:val="24"/>
          <w:szCs w:val="24"/>
        </w:rPr>
        <w:t>cal exato para entrega para a prestação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4F7CCB">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4F7CCB">
        <w:rPr>
          <w:rFonts w:ascii="Bookman Old Style" w:hAnsi="Bookman Old Style"/>
          <w:sz w:val="24"/>
          <w:szCs w:val="24"/>
        </w:rPr>
        <w:t xml:space="preserve"> A d</w:t>
      </w:r>
      <w:r w:rsidR="00A30828">
        <w:rPr>
          <w:rFonts w:ascii="Bookman Old Style" w:hAnsi="Bookman Old Style"/>
          <w:sz w:val="24"/>
          <w:szCs w:val="24"/>
        </w:rPr>
        <w:t>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w:t>
      </w:r>
      <w:r w:rsidR="00F0391B">
        <w:rPr>
          <w:rFonts w:ascii="Bookman Old Style" w:hAnsi="Bookman Old Style"/>
          <w:sz w:val="24"/>
          <w:szCs w:val="24"/>
        </w:rPr>
        <w:t xml:space="preserve">idade e quantidade dos serviços </w:t>
      </w:r>
      <w:r w:rsidRPr="00C8028D">
        <w:rPr>
          <w:rFonts w:ascii="Bookman Old Style" w:hAnsi="Bookman Old Style"/>
          <w:sz w:val="24"/>
          <w:szCs w:val="24"/>
        </w:rPr>
        <w:t>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4F7CCB"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4F7CCB">
        <w:rPr>
          <w:rFonts w:ascii="Bookman Old Style" w:hAnsi="Bookman Old Style"/>
          <w:sz w:val="24"/>
          <w:szCs w:val="24"/>
        </w:rPr>
        <w:t xml:space="preserve"> pela Administração.</w:t>
      </w:r>
      <w:r w:rsidR="00DE712D">
        <w:rPr>
          <w:rFonts w:ascii="Bookman Old Style" w:hAnsi="Bookman Old Style"/>
          <w:sz w:val="24"/>
          <w:szCs w:val="24"/>
        </w:rPr>
        <w:t xml:space="preserve"> </w:t>
      </w:r>
    </w:p>
    <w:p w:rsidR="004F7CCB" w:rsidRDefault="004F7CC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w:t>
      </w:r>
      <w:r w:rsidR="00F0391B">
        <w:rPr>
          <w:rFonts w:ascii="Bookman Old Style" w:hAnsi="Bookman Old Style"/>
          <w:sz w:val="24"/>
          <w:szCs w:val="24"/>
        </w:rPr>
        <w:t>ivo e da qualidade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993E86">
          <w:rPr>
            <w:rFonts w:ascii="Bookman Old Style" w:hAnsi="Bookman Old Style"/>
            <w:sz w:val="24"/>
            <w:szCs w:val="24"/>
          </w:rPr>
          <w:t>27</w:t>
        </w:r>
        <w:r w:rsidR="00DE712D">
          <w:rPr>
            <w:rFonts w:ascii="Bookman Old Style" w:hAnsi="Bookman Old Style"/>
            <w:sz w:val="24"/>
            <w:szCs w:val="24"/>
          </w:rPr>
          <w:t xml:space="preserve"> </w:t>
        </w:r>
        <w:r w:rsidR="00AC7120">
          <w:rPr>
            <w:rFonts w:ascii="Bookman Old Style" w:hAnsi="Bookman Old Style"/>
            <w:sz w:val="24"/>
            <w:szCs w:val="24"/>
          </w:rPr>
          <w:t xml:space="preserve"> de Abril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333E80" w:rsidRPr="00F0779F" w:rsidRDefault="00331A31" w:rsidP="00F0779F">
      <w:pPr>
        <w:overflowPunct w:val="0"/>
        <w:autoSpaceDE w:val="0"/>
        <w:autoSpaceDN w:val="0"/>
        <w:adjustRightInd w:val="0"/>
        <w:ind w:right="-289"/>
        <w:jc w:val="both"/>
        <w:textAlignment w:val="baseline"/>
        <w:rPr>
          <w:rFonts w:ascii="Bookman Old Style" w:hAnsi="Bookman Old Style"/>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331A31"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1B41A0"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lastRenderedPageBreak/>
        <w:t xml:space="preserve">                                              </w:t>
      </w:r>
    </w:p>
    <w:p w:rsidR="001B41A0" w:rsidRDefault="001B41A0" w:rsidP="00F0779F">
      <w:pPr>
        <w:spacing w:after="200" w:line="276" w:lineRule="auto"/>
        <w:rPr>
          <w:rFonts w:ascii="Bookman Old Style" w:hAnsi="Bookman Old Style"/>
          <w:b/>
          <w:sz w:val="24"/>
          <w:szCs w:val="24"/>
        </w:rPr>
      </w:pPr>
    </w:p>
    <w:p w:rsidR="00C8028D" w:rsidRDefault="001B41A0"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2535C">
          <w:rPr>
            <w:rFonts w:ascii="Bookman Old Style" w:hAnsi="Bookman Old Style"/>
            <w:sz w:val="24"/>
            <w:szCs w:val="24"/>
          </w:rPr>
          <w:t>41</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2535C">
          <w:rPr>
            <w:rFonts w:ascii="Bookman Old Style" w:hAnsi="Bookman Old Style"/>
            <w:sz w:val="24"/>
            <w:szCs w:val="24"/>
          </w:rPr>
          <w:t>28</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1076D1" w:rsidRDefault="00813F5D"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r>
        <w:rPr>
          <w:rFonts w:ascii="Bookman Old Style" w:hAnsi="Bookman Old Style"/>
          <w:sz w:val="24"/>
          <w:szCs w:val="24"/>
        </w:rPr>
        <w:lastRenderedPageBreak/>
        <w:t xml:space="preserve">                                        </w:t>
      </w: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p>
    <w:p w:rsidR="00C8028D" w:rsidRPr="00813F5D" w:rsidRDefault="001076D1" w:rsidP="00813F5D">
      <w:pPr>
        <w:spacing w:after="200" w:line="276" w:lineRule="auto"/>
        <w:rPr>
          <w:rFonts w:ascii="Bookman Old Style" w:hAnsi="Bookman Old Style"/>
          <w:sz w:val="24"/>
          <w:szCs w:val="24"/>
        </w:rPr>
      </w:pPr>
      <w:r>
        <w:rPr>
          <w:rFonts w:ascii="Bookman Old Style" w:hAnsi="Bookman Old Style"/>
          <w:sz w:val="24"/>
          <w:szCs w:val="24"/>
        </w:rPr>
        <w:t xml:space="preserve">                                        </w:t>
      </w:r>
      <w:r w:rsidR="00813F5D">
        <w:rPr>
          <w:rFonts w:ascii="Bookman Old Style" w:hAnsi="Bookman Old Style"/>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2535C">
          <w:rPr>
            <w:rFonts w:ascii="Bookman Old Style" w:hAnsi="Bookman Old Style"/>
            <w:sz w:val="24"/>
            <w:szCs w:val="24"/>
          </w:rPr>
          <w:t>41</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2535C">
          <w:rPr>
            <w:rFonts w:ascii="Bookman Old Style" w:hAnsi="Bookman Old Style"/>
            <w:sz w:val="24"/>
            <w:szCs w:val="24"/>
          </w:rPr>
          <w:t>28</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2535C">
          <w:rPr>
            <w:rFonts w:ascii="Bookman Old Style" w:hAnsi="Bookman Old Style"/>
            <w:sz w:val="24"/>
            <w:szCs w:val="24"/>
          </w:rPr>
          <w:t>41</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2535C">
          <w:rPr>
            <w:rFonts w:ascii="Bookman Old Style" w:hAnsi="Bookman Old Style"/>
            <w:sz w:val="24"/>
            <w:szCs w:val="24"/>
          </w:rPr>
          <w:t>28</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w:t>
      </w:r>
      <w:r w:rsidR="004D0744">
        <w:rPr>
          <w:rFonts w:ascii="Bookman Old Style" w:hAnsi="Bookman Old Style"/>
          <w:sz w:val="24"/>
          <w:szCs w:val="24"/>
        </w:rPr>
        <w:t xml:space="preserve"> </w:t>
      </w:r>
      <w:r w:rsidRPr="00C8028D">
        <w:rPr>
          <w:rFonts w:ascii="Bookman Old Style" w:hAnsi="Bookman Old Style"/>
          <w:sz w:val="24"/>
          <w:szCs w:val="24"/>
        </w:rPr>
        <w:t xml:space="preserve">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2535C">
          <w:rPr>
            <w:rFonts w:ascii="Bookman Old Style" w:hAnsi="Bookman Old Style"/>
            <w:sz w:val="24"/>
            <w:szCs w:val="24"/>
          </w:rPr>
          <w:t>41</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2535C">
          <w:rPr>
            <w:rFonts w:ascii="Bookman Old Style" w:hAnsi="Bookman Old Style"/>
            <w:sz w:val="24"/>
            <w:szCs w:val="24"/>
          </w:rPr>
          <w:t>28</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e demais legislação correlata, entre si, certos e ajustados, resolvem celebrar a presente Ata de Registro de</w:t>
      </w:r>
      <w:r w:rsidR="00F0391B">
        <w:rPr>
          <w:rFonts w:ascii="Bookman Old Style" w:hAnsi="Bookman Old Style"/>
          <w:sz w:val="24"/>
          <w:szCs w:val="24"/>
        </w:rPr>
        <w:t xml:space="preserve"> Preços para aquisição dos serviços </w:t>
      </w:r>
      <w:r w:rsidRPr="00C8028D">
        <w:rPr>
          <w:rFonts w:ascii="Bookman Old Style" w:hAnsi="Bookman Old Style"/>
          <w:sz w:val="24"/>
          <w:szCs w:val="24"/>
        </w:rPr>
        <w:t xml:space="preserve">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E2535C">
          <w:rPr>
            <w:rFonts w:ascii="Bookman Old Style" w:hAnsi="Bookman Old Style"/>
            <w:sz w:val="24"/>
            <w:szCs w:val="24"/>
          </w:rPr>
          <w:t>41</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E2535C">
          <w:rPr>
            <w:rFonts w:ascii="Bookman Old Style" w:hAnsi="Bookman Old Style"/>
            <w:sz w:val="24"/>
            <w:szCs w:val="24"/>
          </w:rPr>
          <w:t>28</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2773E2" w:rsidRPr="000E1F27" w:rsidRDefault="00C8028D" w:rsidP="002773E2">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fldSimple w:instr=" DOCVARIABLE &quot;ObjetoLicitacao&quot; \* MERGEFORMAT ">
        <w:r w:rsidR="00993E86">
          <w:rPr>
            <w:rFonts w:ascii="Bookman Old Style" w:hAnsi="Bookman Old Style"/>
            <w:b/>
            <w:sz w:val="24"/>
            <w:szCs w:val="24"/>
          </w:rPr>
          <w:t>CONTRATAÇÃO DE HORAS MÁ</w:t>
        </w:r>
        <w:r w:rsidR="000A34F2">
          <w:rPr>
            <w:rFonts w:ascii="Bookman Old Style" w:hAnsi="Bookman Old Style"/>
            <w:b/>
            <w:sz w:val="24"/>
            <w:szCs w:val="24"/>
          </w:rPr>
          <w:t>QUINAS (RE</w:t>
        </w:r>
        <w:r w:rsidR="000E1F27" w:rsidRPr="000E1F27">
          <w:rPr>
            <w:rFonts w:ascii="Bookman Old Style" w:hAnsi="Bookman Old Style"/>
            <w:b/>
            <w:sz w:val="24"/>
            <w:szCs w:val="24"/>
          </w:rPr>
          <w:t>TRO ESCAVADEIRA, ESCAVADEIRA HIDRÁULICA, COMPACTADOR DE SOLO)  E  CAMINHÃO  BASCULANTE PARA MANUTENÇÃO DOS TRA</w:t>
        </w:r>
        <w:r w:rsidR="000E1F27">
          <w:rPr>
            <w:rFonts w:ascii="Bookman Old Style" w:hAnsi="Bookman Old Style"/>
            <w:b/>
            <w:sz w:val="24"/>
            <w:szCs w:val="24"/>
          </w:rPr>
          <w:t>BALHOS DAS SECRETARIAS DO MUNICÍ</w:t>
        </w:r>
        <w:r w:rsidR="000E1F27" w:rsidRPr="000E1F27">
          <w:rPr>
            <w:rFonts w:ascii="Bookman Old Style" w:hAnsi="Bookman Old Style"/>
            <w:b/>
            <w:sz w:val="24"/>
            <w:szCs w:val="24"/>
          </w:rPr>
          <w:t>PIO DE SANTA TEREZINHA DO PROGRESSO/SC</w:t>
        </w:r>
      </w:fldSimple>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w:t>
      </w:r>
      <w:r w:rsidR="004D0744">
        <w:rPr>
          <w:rFonts w:ascii="Bookman Old Style" w:hAnsi="Bookman Old Style"/>
          <w:bCs/>
          <w:sz w:val="24"/>
          <w:szCs w:val="24"/>
        </w:rPr>
        <w:t xml:space="preserve"> </w:t>
      </w:r>
      <w:r w:rsidRPr="00C8028D">
        <w:rPr>
          <w:rFonts w:ascii="Bookman Old Style" w:hAnsi="Bookman Old Style"/>
          <w:bCs/>
          <w:sz w:val="24"/>
          <w:szCs w:val="24"/>
        </w:rPr>
        <w:t xml:space="preserve">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w:t>
      </w:r>
      <w:r w:rsidR="00F0391B">
        <w:rPr>
          <w:rFonts w:ascii="Bookman Old Style" w:hAnsi="Bookman Old Style"/>
          <w:sz w:val="24"/>
          <w:szCs w:val="24"/>
        </w:rPr>
        <w:t>s serviços</w:t>
      </w:r>
      <w:r w:rsidRPr="00C8028D">
        <w:rPr>
          <w:rFonts w:ascii="Bookman Old Style" w:hAnsi="Bookman Old Style"/>
          <w:sz w:val="24"/>
          <w:szCs w:val="24"/>
        </w:rPr>
        <w:t>, acompanhado da respectiva nota fiscal, conferida e assinada pelo fiscal, o pa</w:t>
      </w:r>
      <w:r w:rsidR="001106D0">
        <w:rPr>
          <w:rFonts w:ascii="Bookman Old Style" w:hAnsi="Bookman Old Style"/>
          <w:sz w:val="24"/>
          <w:szCs w:val="24"/>
        </w:rPr>
        <w:t xml:space="preserve">gamento será efetuado conforme </w:t>
      </w:r>
      <w:r w:rsidR="00FB4441">
        <w:rPr>
          <w:rFonts w:ascii="Bookman Old Style" w:hAnsi="Bookman Old Style"/>
          <w:sz w:val="24"/>
          <w:szCs w:val="24"/>
        </w:rPr>
        <w:t>a</w:t>
      </w:r>
      <w:r w:rsidRPr="00C8028D">
        <w:rPr>
          <w:rFonts w:ascii="Bookman Old Style" w:hAnsi="Bookman Old Style"/>
          <w:sz w:val="24"/>
          <w:szCs w:val="24"/>
        </w:rPr>
        <w:t xml:space="preserve"> </w:t>
      </w:r>
      <w:r w:rsidR="00F0391B">
        <w:rPr>
          <w:rFonts w:ascii="Bookman Old Style" w:hAnsi="Bookman Old Style"/>
          <w:sz w:val="24"/>
          <w:szCs w:val="24"/>
        </w:rPr>
        <w:t xml:space="preserve">ordem </w:t>
      </w:r>
      <w:r w:rsidRPr="00C8028D">
        <w:rPr>
          <w:rFonts w:ascii="Bookman Old Style" w:hAnsi="Bookman Old Style"/>
          <w:sz w:val="24"/>
          <w:szCs w:val="24"/>
        </w:rPr>
        <w:t>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1106D0">
        <w:rPr>
          <w:rFonts w:ascii="Bookman Old Style" w:hAnsi="Bookman Old Style"/>
          <w:sz w:val="24"/>
          <w:szCs w:val="24"/>
        </w:rPr>
        <w:t xml:space="preserve">amento será efetuado à detentora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005A75A9">
        <w:rPr>
          <w:rFonts w:ascii="Bookman Old Style" w:hAnsi="Bookman Old Style"/>
          <w:sz w:val="24"/>
          <w:szCs w:val="24"/>
        </w:rPr>
        <w:t xml:space="preserve"> deverá entregar o material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w:t>
      </w:r>
      <w:r w:rsidR="00F0391B">
        <w:rPr>
          <w:rFonts w:ascii="Bookman Old Style" w:hAnsi="Bookman Old Style"/>
          <w:sz w:val="24"/>
          <w:szCs w:val="24"/>
        </w:rPr>
        <w:t>s serviços caso</w:t>
      </w:r>
      <w:r w:rsidRPr="00C8028D">
        <w:rPr>
          <w:rFonts w:ascii="Bookman Old Style" w:hAnsi="Bookman Old Style"/>
          <w:sz w:val="24"/>
          <w:szCs w:val="24"/>
        </w:rPr>
        <w:t xml:space="preserve"> não corresponder à descrição solicitada, ou ainda, a qualidade for comprovadamente inferior à média dos </w:t>
      </w:r>
      <w:r w:rsidR="00F0391B">
        <w:rPr>
          <w:rFonts w:ascii="Bookman Old Style" w:hAnsi="Bookman Old Style"/>
          <w:sz w:val="24"/>
          <w:szCs w:val="24"/>
        </w:rPr>
        <w:t>serviços</w:t>
      </w:r>
      <w:r w:rsidRPr="00C8028D">
        <w:rPr>
          <w:rFonts w:ascii="Bookman Old Style" w:hAnsi="Bookman Old Style"/>
          <w:sz w:val="24"/>
          <w:szCs w:val="24"/>
        </w:rPr>
        <w:t xml:space="preserve"> similares exi</w:t>
      </w:r>
      <w:r w:rsidR="009D08EA">
        <w:rPr>
          <w:rFonts w:ascii="Bookman Old Style" w:hAnsi="Bookman Old Style"/>
          <w:sz w:val="24"/>
          <w:szCs w:val="24"/>
        </w:rPr>
        <w:t>stentes no mercado, a detentora</w:t>
      </w:r>
      <w:r w:rsidR="00F0391B">
        <w:rPr>
          <w:rFonts w:ascii="Bookman Old Style" w:hAnsi="Bookman Old Style"/>
          <w:sz w:val="24"/>
          <w:szCs w:val="24"/>
        </w:rPr>
        <w:t xml:space="preserve"> deverá refazer os serviços</w:t>
      </w:r>
      <w:r w:rsidRPr="00C8028D">
        <w:rPr>
          <w:rFonts w:ascii="Bookman Old Style" w:hAnsi="Bookman Old Style"/>
          <w:sz w:val="24"/>
          <w:szCs w:val="24"/>
        </w:rPr>
        <w:t xml:space="preserve">, </w:t>
      </w:r>
      <w:r w:rsidRPr="00C8028D">
        <w:rPr>
          <w:rFonts w:ascii="Bookman Old Style" w:hAnsi="Bookman Old Style"/>
          <w:sz w:val="24"/>
          <w:szCs w:val="24"/>
        </w:rPr>
        <w:lastRenderedPageBreak/>
        <w:t>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00F0391B">
        <w:rPr>
          <w:rFonts w:ascii="Bookman Old Style" w:hAnsi="Bookman Old Style"/>
          <w:sz w:val="24"/>
          <w:szCs w:val="24"/>
        </w:rPr>
        <w:t>Sendo necessário refazer os serviços do</w:t>
      </w:r>
      <w:r w:rsidRPr="00C8028D">
        <w:rPr>
          <w:rFonts w:ascii="Bookman Old Style" w:hAnsi="Bookman Old Style"/>
          <w:sz w:val="24"/>
          <w:szCs w:val="24"/>
        </w:rPr>
        <w:t xml:space="preserve"> obje</w:t>
      </w:r>
      <w:r w:rsidR="009D08EA">
        <w:rPr>
          <w:rFonts w:ascii="Bookman Old Style" w:hAnsi="Bookman Old Style"/>
          <w:sz w:val="24"/>
          <w:szCs w:val="24"/>
        </w:rPr>
        <w:t>to desta licitação, a 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4F7CCB">
        <w:rPr>
          <w:rFonts w:ascii="Bookman Old Style" w:hAnsi="Bookman Old Style"/>
          <w:sz w:val="24"/>
          <w:szCs w:val="24"/>
        </w:rPr>
        <w:t>editali</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w:t>
      </w:r>
      <w:r w:rsidR="00F0391B">
        <w:rPr>
          <w:rFonts w:ascii="Bookman Old Style" w:hAnsi="Bookman Old Style"/>
          <w:sz w:val="24"/>
          <w:szCs w:val="24"/>
        </w:rPr>
        <w:t xml:space="preserve"> do</w:t>
      </w:r>
      <w:r w:rsidRPr="00C8028D">
        <w:rPr>
          <w:rFonts w:ascii="Bookman Old Style" w:hAnsi="Bookman Old Style"/>
          <w:sz w:val="24"/>
          <w:szCs w:val="24"/>
        </w:rPr>
        <w:t xml:space="preserve">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4F7CCB">
        <w:rPr>
          <w:rFonts w:ascii="Bookman Old Style" w:hAnsi="Bookman Old Style"/>
          <w:sz w:val="24"/>
          <w:szCs w:val="24"/>
        </w:rPr>
        <w:t>Executar os serviços</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lastRenderedPageBreak/>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9E06EE">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w:t>
      </w:r>
      <w:r w:rsidR="00FB64DF">
        <w:rPr>
          <w:rFonts w:ascii="Bookman Old Style" w:hAnsi="Bookman Old Style"/>
          <w:b/>
          <w:sz w:val="24"/>
          <w:szCs w:val="24"/>
        </w:rPr>
        <w:t xml:space="preserve"> DOTAÇÃO</w:t>
      </w:r>
      <w:r w:rsidR="004D0744">
        <w:rPr>
          <w:rFonts w:ascii="Bookman Old Style" w:hAnsi="Bookman Old Style"/>
          <w:b/>
          <w:sz w:val="24"/>
          <w:szCs w:val="24"/>
        </w:rPr>
        <w:t xml:space="preserve"> </w:t>
      </w:r>
      <w:r w:rsidRPr="00C8028D">
        <w:rPr>
          <w:rFonts w:ascii="Bookman Old Style" w:hAnsi="Bookman Old Style"/>
          <w:b/>
          <w:sz w:val="24"/>
          <w:szCs w:val="24"/>
        </w:rPr>
        <w:t xml:space="preserve"> ORÇAMENTÁRIA</w:t>
      </w: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004D0744">
        <w:rPr>
          <w:rFonts w:ascii="Bookman Old Style" w:hAnsi="Bookman Old Style"/>
          <w:b/>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AC7120" w:rsidRDefault="00331A31"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331A31"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331A31"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331A31"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2535C">
          <w:rPr>
            <w:rFonts w:ascii="Bookman Old Style" w:hAnsi="Bookman Old Style"/>
            <w:sz w:val="24"/>
            <w:szCs w:val="24"/>
          </w:rPr>
          <w:t>41</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2535C">
          <w:rPr>
            <w:rFonts w:ascii="Bookman Old Style" w:hAnsi="Bookman Old Style"/>
            <w:sz w:val="24"/>
            <w:szCs w:val="24"/>
          </w:rPr>
          <w:t>28</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70" w:rsidRDefault="00F71E70">
      <w:r>
        <w:separator/>
      </w:r>
    </w:p>
  </w:endnote>
  <w:endnote w:type="continuationSeparator" w:id="0">
    <w:p w:rsidR="00F71E70" w:rsidRDefault="00F71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E3" w:rsidRDefault="00331A31">
    <w:pPr>
      <w:pStyle w:val="Rodap"/>
      <w:framePr w:wrap="around" w:vAnchor="text" w:hAnchor="margin" w:xAlign="center" w:y="1"/>
      <w:rPr>
        <w:rStyle w:val="Nmerodepgina"/>
      </w:rPr>
    </w:pPr>
    <w:r>
      <w:rPr>
        <w:rStyle w:val="Nmerodepgina"/>
      </w:rPr>
      <w:fldChar w:fldCharType="begin"/>
    </w:r>
    <w:r w:rsidR="00054FE3">
      <w:rPr>
        <w:rStyle w:val="Nmerodepgina"/>
      </w:rPr>
      <w:instrText xml:space="preserve">PAGE  </w:instrText>
    </w:r>
    <w:r>
      <w:rPr>
        <w:rStyle w:val="Nmerodepgina"/>
      </w:rPr>
      <w:fldChar w:fldCharType="end"/>
    </w:r>
  </w:p>
  <w:p w:rsidR="00054FE3" w:rsidRDefault="00054FE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054FE3" w:rsidTr="00045F87">
      <w:tc>
        <w:tcPr>
          <w:tcW w:w="8046" w:type="dxa"/>
          <w:tcBorders>
            <w:top w:val="single" w:sz="4" w:space="0" w:color="auto"/>
            <w:right w:val="single" w:sz="4" w:space="0" w:color="auto"/>
          </w:tcBorders>
        </w:tcPr>
        <w:p w:rsidR="00054FE3" w:rsidRPr="0025202A" w:rsidRDefault="00054FE3"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054FE3" w:rsidRPr="0025202A" w:rsidRDefault="00054FE3"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054FE3" w:rsidRPr="0025202A" w:rsidRDefault="00054FE3"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054FE3" w:rsidRPr="0025202A" w:rsidRDefault="00054FE3" w:rsidP="00045F87">
          <w:pPr>
            <w:pStyle w:val="Rodap"/>
            <w:rPr>
              <w:rFonts w:ascii="Bookman Old Style" w:hAnsi="Bookman Old Style"/>
            </w:rPr>
          </w:pPr>
        </w:p>
        <w:p w:rsidR="00054FE3" w:rsidRPr="0025202A" w:rsidRDefault="00054FE3" w:rsidP="00045F87">
          <w:pPr>
            <w:pStyle w:val="Rodap"/>
            <w:jc w:val="right"/>
            <w:rPr>
              <w:rFonts w:ascii="Bookman Old Style" w:hAnsi="Bookman Old Style"/>
            </w:rPr>
          </w:pPr>
          <w:r w:rsidRPr="0025202A">
            <w:rPr>
              <w:rFonts w:ascii="Bookman Old Style" w:hAnsi="Bookman Old Style"/>
            </w:rPr>
            <w:t xml:space="preserve">Pg. </w:t>
          </w:r>
          <w:r w:rsidR="00331A31" w:rsidRPr="0025202A">
            <w:rPr>
              <w:rFonts w:ascii="Bookman Old Style" w:hAnsi="Bookman Old Style"/>
            </w:rPr>
            <w:fldChar w:fldCharType="begin"/>
          </w:r>
          <w:r w:rsidRPr="0025202A">
            <w:rPr>
              <w:rFonts w:ascii="Bookman Old Style" w:hAnsi="Bookman Old Style"/>
            </w:rPr>
            <w:instrText>PAGE   \* MERGEFORMAT</w:instrText>
          </w:r>
          <w:r w:rsidR="00331A31" w:rsidRPr="0025202A">
            <w:rPr>
              <w:rFonts w:ascii="Bookman Old Style" w:hAnsi="Bookman Old Style"/>
            </w:rPr>
            <w:fldChar w:fldCharType="separate"/>
          </w:r>
          <w:r w:rsidR="00160E01">
            <w:rPr>
              <w:rFonts w:ascii="Bookman Old Style" w:hAnsi="Bookman Old Style"/>
              <w:noProof/>
            </w:rPr>
            <w:t>27</w:t>
          </w:r>
          <w:r w:rsidR="00331A31" w:rsidRPr="0025202A">
            <w:rPr>
              <w:rFonts w:ascii="Bookman Old Style" w:hAnsi="Bookman Old Style"/>
            </w:rPr>
            <w:fldChar w:fldCharType="end"/>
          </w:r>
        </w:p>
      </w:tc>
    </w:tr>
  </w:tbl>
  <w:p w:rsidR="00054FE3" w:rsidRPr="00245320" w:rsidRDefault="00054FE3"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70" w:rsidRDefault="00F71E70">
      <w:r>
        <w:separator/>
      </w:r>
    </w:p>
  </w:footnote>
  <w:footnote w:type="continuationSeparator" w:id="0">
    <w:p w:rsidR="00F71E70" w:rsidRDefault="00F71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054FE3" w:rsidTr="00045F87">
      <w:tc>
        <w:tcPr>
          <w:tcW w:w="1668" w:type="dxa"/>
          <w:tcBorders>
            <w:bottom w:val="single" w:sz="4" w:space="0" w:color="auto"/>
          </w:tcBorders>
        </w:tcPr>
        <w:p w:rsidR="00054FE3" w:rsidRDefault="00054FE3">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054FE3" w:rsidRPr="0025202A" w:rsidRDefault="00054FE3"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054FE3" w:rsidRDefault="00054FE3" w:rsidP="00045F87">
          <w:pPr>
            <w:pStyle w:val="Cabealho"/>
            <w:tabs>
              <w:tab w:val="clear" w:pos="4252"/>
            </w:tabs>
            <w:jc w:val="center"/>
          </w:pPr>
          <w:r w:rsidRPr="0025202A">
            <w:rPr>
              <w:rFonts w:ascii="Bookman Old Style" w:hAnsi="Bookman Old Style"/>
              <w:b/>
              <w:sz w:val="22"/>
            </w:rPr>
            <w:t>PODER EXECUTIVO MUNICIPAL</w:t>
          </w:r>
        </w:p>
      </w:tc>
    </w:tr>
  </w:tbl>
  <w:p w:rsidR="00054FE3" w:rsidRDefault="00054FE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438F4"/>
    <w:rsid w:val="00045F87"/>
    <w:rsid w:val="000464D9"/>
    <w:rsid w:val="00054FE3"/>
    <w:rsid w:val="000755B7"/>
    <w:rsid w:val="000834EE"/>
    <w:rsid w:val="00090310"/>
    <w:rsid w:val="00093DA1"/>
    <w:rsid w:val="000A34F2"/>
    <w:rsid w:val="000B36CD"/>
    <w:rsid w:val="000E1F27"/>
    <w:rsid w:val="000F33FD"/>
    <w:rsid w:val="000F42AF"/>
    <w:rsid w:val="00104EFA"/>
    <w:rsid w:val="0010769B"/>
    <w:rsid w:val="001076D1"/>
    <w:rsid w:val="001106D0"/>
    <w:rsid w:val="0012416B"/>
    <w:rsid w:val="00136B99"/>
    <w:rsid w:val="00160E01"/>
    <w:rsid w:val="00170E10"/>
    <w:rsid w:val="0017375E"/>
    <w:rsid w:val="001801F0"/>
    <w:rsid w:val="00182550"/>
    <w:rsid w:val="00195AD4"/>
    <w:rsid w:val="001B41A0"/>
    <w:rsid w:val="001E4714"/>
    <w:rsid w:val="00203FBA"/>
    <w:rsid w:val="002116B6"/>
    <w:rsid w:val="002362A8"/>
    <w:rsid w:val="00252CCD"/>
    <w:rsid w:val="002734E7"/>
    <w:rsid w:val="002773E2"/>
    <w:rsid w:val="00292B72"/>
    <w:rsid w:val="002B671F"/>
    <w:rsid w:val="002C32C7"/>
    <w:rsid w:val="00302A2B"/>
    <w:rsid w:val="003312E9"/>
    <w:rsid w:val="00331A31"/>
    <w:rsid w:val="00333E80"/>
    <w:rsid w:val="00356846"/>
    <w:rsid w:val="00357642"/>
    <w:rsid w:val="003A50D8"/>
    <w:rsid w:val="003B6770"/>
    <w:rsid w:val="00457C51"/>
    <w:rsid w:val="00476813"/>
    <w:rsid w:val="00485A20"/>
    <w:rsid w:val="004926B8"/>
    <w:rsid w:val="004962A4"/>
    <w:rsid w:val="004A04C5"/>
    <w:rsid w:val="004A0FDF"/>
    <w:rsid w:val="004C3998"/>
    <w:rsid w:val="004D0744"/>
    <w:rsid w:val="004E02D4"/>
    <w:rsid w:val="004F6FED"/>
    <w:rsid w:val="004F7CCB"/>
    <w:rsid w:val="00501C2B"/>
    <w:rsid w:val="0050403A"/>
    <w:rsid w:val="005115F6"/>
    <w:rsid w:val="005172E7"/>
    <w:rsid w:val="00530E16"/>
    <w:rsid w:val="00565600"/>
    <w:rsid w:val="00567E41"/>
    <w:rsid w:val="00571F0D"/>
    <w:rsid w:val="00590A53"/>
    <w:rsid w:val="005A75A9"/>
    <w:rsid w:val="005B2F9A"/>
    <w:rsid w:val="005D788F"/>
    <w:rsid w:val="0060408E"/>
    <w:rsid w:val="006047A1"/>
    <w:rsid w:val="006064AE"/>
    <w:rsid w:val="00610229"/>
    <w:rsid w:val="0061103B"/>
    <w:rsid w:val="00634B4D"/>
    <w:rsid w:val="00652B6E"/>
    <w:rsid w:val="00657999"/>
    <w:rsid w:val="00666E76"/>
    <w:rsid w:val="00670176"/>
    <w:rsid w:val="006A0D45"/>
    <w:rsid w:val="006B369B"/>
    <w:rsid w:val="006D4BE3"/>
    <w:rsid w:val="006D6B31"/>
    <w:rsid w:val="006E0EFC"/>
    <w:rsid w:val="0070648C"/>
    <w:rsid w:val="00716FF3"/>
    <w:rsid w:val="00757B21"/>
    <w:rsid w:val="007611EE"/>
    <w:rsid w:val="007918B5"/>
    <w:rsid w:val="00794C81"/>
    <w:rsid w:val="007C0694"/>
    <w:rsid w:val="007C231C"/>
    <w:rsid w:val="007E6BE2"/>
    <w:rsid w:val="00813F5D"/>
    <w:rsid w:val="00824971"/>
    <w:rsid w:val="008405C9"/>
    <w:rsid w:val="00856DF1"/>
    <w:rsid w:val="00863FC3"/>
    <w:rsid w:val="00864DB0"/>
    <w:rsid w:val="0088115A"/>
    <w:rsid w:val="008A7E0D"/>
    <w:rsid w:val="008D6262"/>
    <w:rsid w:val="008E6659"/>
    <w:rsid w:val="008F55EA"/>
    <w:rsid w:val="008F6E5A"/>
    <w:rsid w:val="008F7B47"/>
    <w:rsid w:val="00936C2D"/>
    <w:rsid w:val="009370C5"/>
    <w:rsid w:val="00944794"/>
    <w:rsid w:val="009468E7"/>
    <w:rsid w:val="00993E86"/>
    <w:rsid w:val="009A135A"/>
    <w:rsid w:val="009C14B6"/>
    <w:rsid w:val="009D08EA"/>
    <w:rsid w:val="009D1922"/>
    <w:rsid w:val="009E06EE"/>
    <w:rsid w:val="009E3B65"/>
    <w:rsid w:val="009E5741"/>
    <w:rsid w:val="00A04AC7"/>
    <w:rsid w:val="00A05C83"/>
    <w:rsid w:val="00A30828"/>
    <w:rsid w:val="00A46A49"/>
    <w:rsid w:val="00A5097A"/>
    <w:rsid w:val="00A509E8"/>
    <w:rsid w:val="00A71425"/>
    <w:rsid w:val="00A815C1"/>
    <w:rsid w:val="00A84936"/>
    <w:rsid w:val="00A87F0A"/>
    <w:rsid w:val="00AA2E5D"/>
    <w:rsid w:val="00AA47E4"/>
    <w:rsid w:val="00AC2033"/>
    <w:rsid w:val="00AC7120"/>
    <w:rsid w:val="00AD45E3"/>
    <w:rsid w:val="00AE0459"/>
    <w:rsid w:val="00B02988"/>
    <w:rsid w:val="00B20E08"/>
    <w:rsid w:val="00B25A9C"/>
    <w:rsid w:val="00B64CEC"/>
    <w:rsid w:val="00B70DDA"/>
    <w:rsid w:val="00B72F23"/>
    <w:rsid w:val="00B8097D"/>
    <w:rsid w:val="00B93412"/>
    <w:rsid w:val="00BB1CEC"/>
    <w:rsid w:val="00BD6042"/>
    <w:rsid w:val="00BF433B"/>
    <w:rsid w:val="00C15C0C"/>
    <w:rsid w:val="00C200FA"/>
    <w:rsid w:val="00C440E0"/>
    <w:rsid w:val="00C45536"/>
    <w:rsid w:val="00C61D84"/>
    <w:rsid w:val="00C70976"/>
    <w:rsid w:val="00C7712B"/>
    <w:rsid w:val="00C8028D"/>
    <w:rsid w:val="00CC3AEC"/>
    <w:rsid w:val="00CC5513"/>
    <w:rsid w:val="00CC6566"/>
    <w:rsid w:val="00CC7E93"/>
    <w:rsid w:val="00D33ABE"/>
    <w:rsid w:val="00D41F11"/>
    <w:rsid w:val="00D67BAE"/>
    <w:rsid w:val="00D724C3"/>
    <w:rsid w:val="00D82BEB"/>
    <w:rsid w:val="00D83583"/>
    <w:rsid w:val="00D93B50"/>
    <w:rsid w:val="00D93BE0"/>
    <w:rsid w:val="00D941CB"/>
    <w:rsid w:val="00DA4F2F"/>
    <w:rsid w:val="00DC2FDD"/>
    <w:rsid w:val="00DE1B5D"/>
    <w:rsid w:val="00DE712D"/>
    <w:rsid w:val="00DF08C8"/>
    <w:rsid w:val="00E2535C"/>
    <w:rsid w:val="00E3200D"/>
    <w:rsid w:val="00E43341"/>
    <w:rsid w:val="00E574EE"/>
    <w:rsid w:val="00E71702"/>
    <w:rsid w:val="00E81D8B"/>
    <w:rsid w:val="00E96BFC"/>
    <w:rsid w:val="00EA7D54"/>
    <w:rsid w:val="00EB545A"/>
    <w:rsid w:val="00EC35A7"/>
    <w:rsid w:val="00ED2328"/>
    <w:rsid w:val="00F0391B"/>
    <w:rsid w:val="00F0654E"/>
    <w:rsid w:val="00F0779F"/>
    <w:rsid w:val="00F16A9B"/>
    <w:rsid w:val="00F45F6C"/>
    <w:rsid w:val="00F66A53"/>
    <w:rsid w:val="00F67B6B"/>
    <w:rsid w:val="00F71E70"/>
    <w:rsid w:val="00F771BD"/>
    <w:rsid w:val="00F83668"/>
    <w:rsid w:val="00F918C4"/>
    <w:rsid w:val="00FA3F5A"/>
    <w:rsid w:val="00FA53FD"/>
    <w:rsid w:val="00FB4441"/>
    <w:rsid w:val="00FB5A08"/>
    <w:rsid w:val="00FB64DF"/>
    <w:rsid w:val="00FC1865"/>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BAA3-3FE5-4765-9657-6FD65D47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9680</Words>
  <Characters>52273</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6</cp:revision>
  <cp:lastPrinted>2018-05-02T18:06:00Z</cp:lastPrinted>
  <dcterms:created xsi:type="dcterms:W3CDTF">2018-04-30T12:46:00Z</dcterms:created>
  <dcterms:modified xsi:type="dcterms:W3CDTF">2018-05-02T18:07:00Z</dcterms:modified>
</cp:coreProperties>
</file>