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AC" w:rsidRDefault="00972CAC" w:rsidP="00972CAC">
      <w:pPr>
        <w:pStyle w:val="Ttulo1"/>
        <w:spacing w:before="100" w:beforeAutospacing="1" w:after="100" w:afterAutospacing="1" w:line="288" w:lineRule="auto"/>
        <w:rPr>
          <w:rFonts w:ascii="Bookman Old Style" w:hAnsi="Bookman Old Style"/>
          <w:sz w:val="24"/>
          <w:szCs w:val="24"/>
        </w:rPr>
      </w:pPr>
    </w:p>
    <w:p w:rsidR="0099152A" w:rsidRPr="00972CAC" w:rsidRDefault="006B3ACC" w:rsidP="00972CAC">
      <w:pPr>
        <w:pStyle w:val="Ttulo1"/>
        <w:spacing w:before="100" w:beforeAutospacing="1" w:after="100" w:afterAutospacing="1" w:line="288" w:lineRule="auto"/>
        <w:rPr>
          <w:rFonts w:ascii="Bookman Old Style" w:hAnsi="Bookman Old Style"/>
          <w:sz w:val="24"/>
          <w:szCs w:val="24"/>
        </w:rPr>
      </w:pPr>
      <w:r w:rsidRPr="00972CAC">
        <w:rPr>
          <w:rFonts w:ascii="Bookman Old Style" w:hAnsi="Bookman Old Style"/>
          <w:sz w:val="24"/>
          <w:szCs w:val="24"/>
        </w:rPr>
        <w:t>DECRETO N°</w:t>
      </w:r>
      <w:r w:rsidR="0099152A" w:rsidRPr="00972CAC">
        <w:rPr>
          <w:rFonts w:ascii="Bookman Old Style" w:hAnsi="Bookman Old Style"/>
          <w:sz w:val="24"/>
          <w:szCs w:val="24"/>
        </w:rPr>
        <w:t xml:space="preserve"> </w:t>
      </w:r>
      <w:r w:rsidR="00741FC9" w:rsidRPr="00972CAC">
        <w:rPr>
          <w:rFonts w:ascii="Bookman Old Style" w:hAnsi="Bookman Old Style"/>
          <w:sz w:val="24"/>
          <w:szCs w:val="24"/>
        </w:rPr>
        <w:t>1</w:t>
      </w:r>
      <w:r w:rsidR="00B26574" w:rsidRPr="00972CAC">
        <w:rPr>
          <w:rFonts w:ascii="Bookman Old Style" w:hAnsi="Bookman Old Style"/>
          <w:sz w:val="24"/>
          <w:szCs w:val="24"/>
        </w:rPr>
        <w:t>4</w:t>
      </w:r>
      <w:r w:rsidR="00972CAC" w:rsidRPr="00972CAC">
        <w:rPr>
          <w:rFonts w:ascii="Bookman Old Style" w:hAnsi="Bookman Old Style"/>
          <w:sz w:val="24"/>
          <w:szCs w:val="24"/>
        </w:rPr>
        <w:t>6</w:t>
      </w:r>
      <w:r w:rsidR="00197DB0" w:rsidRPr="00972CAC">
        <w:rPr>
          <w:rFonts w:ascii="Bookman Old Style" w:hAnsi="Bookman Old Style"/>
          <w:sz w:val="24"/>
          <w:szCs w:val="24"/>
        </w:rPr>
        <w:t>/2020</w:t>
      </w:r>
    </w:p>
    <w:p w:rsidR="00972CAC" w:rsidRPr="00972CAC" w:rsidRDefault="00972CAC" w:rsidP="00972CAC">
      <w:pPr>
        <w:spacing w:before="100" w:beforeAutospacing="1" w:after="100" w:afterAutospacing="1" w:line="288" w:lineRule="auto"/>
        <w:ind w:left="3402"/>
        <w:jc w:val="both"/>
        <w:rPr>
          <w:rFonts w:ascii="Bookman Old Style" w:hAnsi="Bookman Old Style" w:cs="Arial"/>
          <w:b/>
          <w:sz w:val="24"/>
          <w:szCs w:val="24"/>
        </w:rPr>
      </w:pPr>
      <w:r w:rsidRPr="00972CAC">
        <w:rPr>
          <w:rFonts w:ascii="Bookman Old Style" w:hAnsi="Bookman Old Style" w:cs="Arial"/>
          <w:b/>
          <w:sz w:val="24"/>
          <w:szCs w:val="24"/>
        </w:rPr>
        <w:t>ATUALIZAR, ADEQUAR E REGULAMENTAR A LICITAÇÃO, NA MODALIDADE PREGÃO, NA FORMA ELETRÔNICA, PARA A AQUISIÇÃO DE BENS E A CONTRATAÇÃO DE SERVIÇOS COMUNS, INCLUÍDOS OS SERVIÇOS COMUNS DE ENGENHARIA, E DISPONDO SOBRE O USO DA DISPENSA ELETRÔNICA, NO ÂMBITO DA ADMINISTRAÇÃO PÚBLICA MUNICIPAL.</w:t>
      </w:r>
    </w:p>
    <w:p w:rsidR="00972CAC" w:rsidRPr="00972CAC" w:rsidRDefault="007E45DF" w:rsidP="00972CAC">
      <w:pPr>
        <w:spacing w:before="100" w:beforeAutospacing="1" w:after="100" w:afterAutospacing="1" w:line="288" w:lineRule="auto"/>
        <w:ind w:firstLine="567"/>
        <w:jc w:val="both"/>
        <w:rPr>
          <w:rFonts w:ascii="Bookman Old Style" w:hAnsi="Bookman Old Style" w:cs="Arial"/>
          <w:b/>
          <w:bCs/>
          <w:color w:val="000000"/>
          <w:sz w:val="24"/>
          <w:szCs w:val="24"/>
        </w:rPr>
      </w:pPr>
      <w:r w:rsidRPr="00972CAC">
        <w:rPr>
          <w:rFonts w:ascii="Bookman Old Style" w:hAnsi="Bookman Old Style" w:cs="Arial"/>
          <w:sz w:val="24"/>
          <w:szCs w:val="24"/>
        </w:rPr>
        <w:tab/>
        <w:t>O</w:t>
      </w:r>
      <w:r w:rsidR="00721B02" w:rsidRPr="00972CAC">
        <w:rPr>
          <w:rFonts w:ascii="Bookman Old Style" w:hAnsi="Bookman Old Style" w:cs="Arial"/>
          <w:b/>
          <w:sz w:val="24"/>
          <w:szCs w:val="24"/>
        </w:rPr>
        <w:t xml:space="preserve"> </w:t>
      </w:r>
      <w:r w:rsidR="00721B02" w:rsidRPr="00972CAC">
        <w:rPr>
          <w:rFonts w:ascii="Bookman Old Style" w:hAnsi="Bookman Old Style" w:cs="Arial"/>
          <w:sz w:val="24"/>
          <w:szCs w:val="24"/>
        </w:rPr>
        <w:t xml:space="preserve">Prefeito Municipal de Santa Terezinha do Progresso, Estado de Santa Catarina, no uso das atribuições de seu cargo, principalmente aquelas contidas no inciso III, do artigo </w:t>
      </w:r>
      <w:r w:rsidR="00B3000D" w:rsidRPr="00972CAC">
        <w:rPr>
          <w:rFonts w:ascii="Bookman Old Style" w:hAnsi="Bookman Old Style" w:cs="Arial"/>
          <w:sz w:val="24"/>
          <w:szCs w:val="24"/>
        </w:rPr>
        <w:t>41, da Lei Orgânica do Município</w:t>
      </w:r>
      <w:r w:rsidR="00B249BF" w:rsidRPr="00972CAC">
        <w:rPr>
          <w:rFonts w:ascii="Bookman Old Style" w:hAnsi="Bookman Old Style" w:cs="Arial"/>
          <w:sz w:val="24"/>
          <w:szCs w:val="24"/>
        </w:rPr>
        <w:t xml:space="preserve"> </w:t>
      </w:r>
      <w:r w:rsidR="00972CAC" w:rsidRPr="00972CAC">
        <w:rPr>
          <w:rFonts w:ascii="Bookman Old Style" w:hAnsi="Bookman Old Style" w:cs="Arial"/>
          <w:bCs/>
          <w:color w:val="000000"/>
          <w:sz w:val="24"/>
          <w:szCs w:val="24"/>
        </w:rPr>
        <w:t>considerando as alterações Editadas pelo Presidente da República em relação à modalidade pregão para aquisição de bens e a contratação de serviços comuns de engenharia, e dispensa eletrônica, pela Edição do Decreto 10.024, de 10/09/2020</w:t>
      </w:r>
      <w:r w:rsidR="00972CAC" w:rsidRPr="00972CAC">
        <w:rPr>
          <w:rFonts w:ascii="Bookman Old Style" w:hAnsi="Bookman Old Style" w:cs="Arial"/>
          <w:b/>
          <w:bCs/>
          <w:color w:val="000000"/>
          <w:sz w:val="24"/>
          <w:szCs w:val="24"/>
        </w:rPr>
        <w:t>:</w:t>
      </w:r>
    </w:p>
    <w:p w:rsidR="00972CAC" w:rsidRPr="00972CAC" w:rsidRDefault="00972CAC" w:rsidP="00972CAC">
      <w:pPr>
        <w:spacing w:before="100" w:beforeAutospacing="1" w:after="100" w:afterAutospacing="1" w:line="288" w:lineRule="auto"/>
        <w:jc w:val="center"/>
        <w:rPr>
          <w:rFonts w:ascii="Bookman Old Style" w:hAnsi="Bookman Old Style" w:cs="Arial"/>
          <w:b/>
          <w:bCs/>
          <w:color w:val="000000"/>
          <w:sz w:val="24"/>
          <w:szCs w:val="24"/>
        </w:rPr>
      </w:pPr>
    </w:p>
    <w:p w:rsidR="00972CAC" w:rsidRPr="00972CAC" w:rsidRDefault="00972CAC" w:rsidP="00972CAC">
      <w:pPr>
        <w:spacing w:before="100" w:beforeAutospacing="1" w:after="100" w:afterAutospacing="1" w:line="288" w:lineRule="auto"/>
        <w:jc w:val="center"/>
        <w:rPr>
          <w:rFonts w:ascii="Bookman Old Style" w:hAnsi="Bookman Old Style" w:cs="Arial"/>
          <w:b/>
          <w:bCs/>
          <w:color w:val="000000"/>
          <w:sz w:val="24"/>
          <w:szCs w:val="24"/>
        </w:rPr>
      </w:pPr>
      <w:r w:rsidRPr="00972CAC">
        <w:rPr>
          <w:rFonts w:ascii="Bookman Old Style" w:hAnsi="Bookman Old Style" w:cs="Arial"/>
          <w:b/>
          <w:bCs/>
          <w:color w:val="000000"/>
          <w:sz w:val="24"/>
          <w:szCs w:val="24"/>
        </w:rPr>
        <w:t>D E C R E T A:</w:t>
      </w:r>
    </w:p>
    <w:p w:rsidR="00972CAC" w:rsidRPr="00972CAC" w:rsidRDefault="00972CAC" w:rsidP="00972CAC">
      <w:pPr>
        <w:spacing w:before="100" w:beforeAutospacing="1" w:after="100" w:afterAutospacing="1" w:line="288" w:lineRule="auto"/>
        <w:ind w:firstLine="567"/>
        <w:jc w:val="center"/>
        <w:rPr>
          <w:rFonts w:ascii="Bookman Old Style" w:hAnsi="Bookman Old Style" w:cs="Arial"/>
          <w:b/>
          <w:bCs/>
          <w:color w:val="000000"/>
          <w:sz w:val="24"/>
          <w:szCs w:val="24"/>
        </w:rPr>
      </w:pP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CAPÍTULO I</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DISPOSIÇÕES PRELIMINARES</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Objeto e âmbito de aplicação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bCs/>
          <w:color w:val="000000"/>
          <w:sz w:val="24"/>
          <w:szCs w:val="24"/>
        </w:rPr>
      </w:pPr>
      <w:r w:rsidRPr="00972CAC">
        <w:rPr>
          <w:rFonts w:ascii="Bookman Old Style" w:hAnsi="Bookman Old Style" w:cs="Arial"/>
          <w:bCs/>
          <w:color w:val="000000"/>
          <w:sz w:val="24"/>
          <w:szCs w:val="24"/>
        </w:rPr>
        <w:t>Art. 1º Subordinam-se ao disposto nesta Lei, além dos órgãos da Administração Pública Municipal Direta, os fundos especiais, as fundações públicas, e as demais entidades controladas direta ou indiretamente pelo município.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0" w:name="art1"/>
      <w:bookmarkEnd w:id="0"/>
      <w:r w:rsidRPr="00972CAC">
        <w:rPr>
          <w:rFonts w:ascii="Bookman Old Style" w:hAnsi="Bookman Old Style" w:cs="Arial"/>
          <w:color w:val="000000"/>
          <w:sz w:val="24"/>
          <w:szCs w:val="24"/>
        </w:rPr>
        <w:t>Art. 2º Este Decreto regulamenta a licitação, na modalidade de pregão, na forma eletrônica, para a aquisição de bens e a contratação de serviços comuns, incluídos os serviços comuns de engenharia, e dispõe sobre o uso da dispensa eletrônica, no âmbito da administração pública municipal.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lastRenderedPageBreak/>
        <w:t>§ 1º A utilização da modalidade de pregão, na forma eletrônica, pelos órgãos da administração pública municipal direta, pelas fundações e pelos fundos especiais é obrigatória.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2º  As empresas públicas, as sociedades de economia mista e suas subsidiárias, nos termos do regulamento interno de que trata o </w:t>
      </w:r>
      <w:hyperlink r:id="rId8" w:anchor="art40" w:history="1">
        <w:r w:rsidRPr="00972CAC">
          <w:rPr>
            <w:rStyle w:val="Hyperlink"/>
            <w:rFonts w:ascii="Bookman Old Style" w:hAnsi="Bookman Old Style" w:cs="Arial"/>
            <w:sz w:val="24"/>
            <w:szCs w:val="24"/>
          </w:rPr>
          <w:t>art. 40 da Lei nº 13.303, de 30 de junho de 2016</w:t>
        </w:r>
      </w:hyperlink>
      <w:r w:rsidRPr="00972CAC">
        <w:rPr>
          <w:rFonts w:ascii="Bookman Old Style" w:hAnsi="Bookman Old Style" w:cs="Arial"/>
          <w:color w:val="000000"/>
          <w:sz w:val="24"/>
          <w:szCs w:val="24"/>
        </w:rPr>
        <w:t>, poderão adotar, no que couber, as disposições deste Decreto, inclusive o disposto no Capítulo XVII, observados os limites de que trata o art. 29 da referida Lei.</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3º  Para a aquisição de bens e a contratação de serviços comuns pelos entes federativos, com a utilização de recursos da União decorrentes de transferências voluntárias, tais como convênios e contratos de repasse, a utilização da modalidade de pregão, na forma eletrônica, ou da dispensa eletrônica será obrigatória, exceto nos casos em que a lei ou a regulamentação específica que dispuser sobre a modalidade de transferência discipline de forma diversa  as contratações com os recursos do repasse.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4º Será admitida, excepcionalmente, mediante prévia justificativa da autoridade competente, a utilização da forma de pregão presencial nas licitações de que trata o </w:t>
      </w:r>
      <w:r w:rsidRPr="00972CAC">
        <w:rPr>
          <w:rFonts w:ascii="Bookman Old Style" w:hAnsi="Bookman Old Style" w:cs="Arial"/>
          <w:b/>
          <w:bCs/>
          <w:color w:val="000000"/>
          <w:sz w:val="24"/>
          <w:szCs w:val="24"/>
        </w:rPr>
        <w:t>caput</w:t>
      </w:r>
      <w:r w:rsidRPr="00972CAC">
        <w:rPr>
          <w:rFonts w:ascii="Bookman Old Style" w:hAnsi="Bookman Old Style" w:cs="Arial"/>
          <w:color w:val="000000"/>
          <w:sz w:val="24"/>
          <w:szCs w:val="24"/>
        </w:rPr>
        <w:t> ou a não adoção do sistema de dispensa eletrônica, desde que fique comprovada a inviabilidade técnica ou a desvantagem para a administração na realização da forma eletrônica.</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Princípios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1" w:name="art2"/>
      <w:bookmarkEnd w:id="1"/>
      <w:r w:rsidRPr="00972CAC">
        <w:rPr>
          <w:rFonts w:ascii="Bookman Old Style" w:hAnsi="Bookman Old Style" w:cs="Arial"/>
          <w:color w:val="000000"/>
          <w:sz w:val="24"/>
          <w:szCs w:val="24"/>
        </w:rPr>
        <w:t>Art. 2º  O pregão, na forma eletrônica, é condicionado aos princípios da legalidade, da impessoalidade, da moralidade, da igualdade, da publicidade, da eficiência, da probidade administrativa, do desenvolvimento sustentável, da vinculação ao instrumento convocatório, do julgamento objetivo, da razoabilidade, da competitividade, da proporcionalidade e aos que lhes são correlatos.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1º  O princípio do desenvolvimento sustentável será observado nas etapas do processo de contratação, em suas dimensões econômica, social, ambiental e cultural, no mínimo, com base nos planos de gestão de logística sustentável dos órgãos e das entidades.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xml:space="preserve">§ 2º  As normas disciplinadoras da licitação serão interpretadas em favor da ampliação da disputa entre os interessados, resguardados o </w:t>
      </w:r>
      <w:r w:rsidRPr="00972CAC">
        <w:rPr>
          <w:rFonts w:ascii="Bookman Old Style" w:hAnsi="Bookman Old Style" w:cs="Arial"/>
          <w:color w:val="000000"/>
          <w:sz w:val="24"/>
          <w:szCs w:val="24"/>
        </w:rPr>
        <w:lastRenderedPageBreak/>
        <w:t>interesse da administração, o princípio da isonomia, a finalidade e a segurança da contratação.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Definições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2" w:name="art3"/>
      <w:bookmarkEnd w:id="2"/>
      <w:r w:rsidRPr="00972CAC">
        <w:rPr>
          <w:rFonts w:ascii="Bookman Old Style" w:hAnsi="Bookman Old Style" w:cs="Arial"/>
          <w:color w:val="000000"/>
          <w:sz w:val="24"/>
          <w:szCs w:val="24"/>
        </w:rPr>
        <w:t>Art. 3º  Para fins do disposto neste Decreto, considera-se: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 - aviso do edital - documento que contém:</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a) a definição precisa, suficiente e clara do objeto;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b) a indicação dos locais, das datas e dos horários em que poderá ser lido ou obtido o edital; 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c) o endereço eletrônico no qual ocorrerá a sessão pública com a data e o horário de sua realização;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 - bens e serviços comuns - bens cujos padrões de desempenho e qualidade possam ser objetivamente definidos pelo edital, por meio de especificações reconhecidas e usuais do mercado;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III - bens e serviços especiais - bens que, por sua alta heterogeneidade ou complexidade técnica, não podem ser considerados bens e serviços comuns, nos termos do inciso II;</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IV - estudo técnico preliminar - documento constitutivo da primeira etapa do planejamento de uma contratação, que caracteriza o interesse público envolvido e a melhor solução ao problema a ser resolvido e que, na hipótese de conclusão pela viabilidade da contratação, fundamenta o termo de referência;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 - lances intermediários - lances iguais ou superiores ao menor já ofertado, porém inferiores ao último lance dado pelo próprio licitante;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VI - obra - construção, reforma, fabricação, recuperação ou ampliação de bem imóvel, realizada por execução direta ou indireta;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VII - serviço - atividade ou conjunto de atividades destinadas a obter determinada utilidade, intelectual ou material, de interesse da administração pública;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lastRenderedPageBreak/>
        <w:t>VIII - serviço comum de engenharia - atividade ou conjunto de atividades que necessitam da participação e do acompanhamento de profissional engenheiro habilitado, nos termos do disposto na Lei nº 5.194, de 24 de dezembro de 1966, e cujos padrões de desempenho e qualidade possam ser objetivamente definidos pela administração pública, mediante especificações usuais de mercado;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xml:space="preserve">IX - Sistema de Cadastramento Unificado de Fornecedores - </w:t>
      </w:r>
      <w:proofErr w:type="spellStart"/>
      <w:r w:rsidRPr="00972CAC">
        <w:rPr>
          <w:rFonts w:ascii="Bookman Old Style" w:hAnsi="Bookman Old Style" w:cs="Arial"/>
          <w:color w:val="000000"/>
          <w:sz w:val="24"/>
          <w:szCs w:val="24"/>
        </w:rPr>
        <w:t>Sicaf</w:t>
      </w:r>
      <w:proofErr w:type="spellEnd"/>
      <w:r w:rsidRPr="00972CAC">
        <w:rPr>
          <w:rFonts w:ascii="Bookman Old Style" w:hAnsi="Bookman Old Style" w:cs="Arial"/>
          <w:color w:val="000000"/>
          <w:sz w:val="24"/>
          <w:szCs w:val="24"/>
        </w:rPr>
        <w:t xml:space="preserve"> - ferramenta informatizada, integrante da plataforma do Sistema Integrado de Administração de Serviços Gerais - </w:t>
      </w:r>
      <w:proofErr w:type="spellStart"/>
      <w:r w:rsidRPr="00972CAC">
        <w:rPr>
          <w:rFonts w:ascii="Bookman Old Style" w:hAnsi="Bookman Old Style" w:cs="Arial"/>
          <w:color w:val="000000"/>
          <w:sz w:val="24"/>
          <w:szCs w:val="24"/>
        </w:rPr>
        <w:t>Siasg</w:t>
      </w:r>
      <w:proofErr w:type="spellEnd"/>
      <w:r w:rsidRPr="00972CAC">
        <w:rPr>
          <w:rFonts w:ascii="Bookman Old Style" w:hAnsi="Bookman Old Style" w:cs="Arial"/>
          <w:color w:val="000000"/>
          <w:sz w:val="24"/>
          <w:szCs w:val="24"/>
        </w:rPr>
        <w:t xml:space="preserve">, disponibilizada pelo Ministério da Economia, para cadastramento dos órgãos e das entidades da administração pública, das empresas públicas e dos participantes de procedimentos de licitação, dispensa ou inexigibilidade promovidos pelos órgãos e pelas entidades integrantes do Sistema de Serviços Gerais - </w:t>
      </w:r>
      <w:proofErr w:type="spellStart"/>
      <w:r w:rsidRPr="00972CAC">
        <w:rPr>
          <w:rFonts w:ascii="Bookman Old Style" w:hAnsi="Bookman Old Style" w:cs="Arial"/>
          <w:color w:val="000000"/>
          <w:sz w:val="24"/>
          <w:szCs w:val="24"/>
        </w:rPr>
        <w:t>Sisg</w:t>
      </w:r>
      <w:proofErr w:type="spellEnd"/>
      <w:r w:rsidRPr="00972CAC">
        <w:rPr>
          <w:rFonts w:ascii="Bookman Old Style" w:hAnsi="Bookman Old Style" w:cs="Arial"/>
          <w:color w:val="000000"/>
          <w:sz w:val="24"/>
          <w:szCs w:val="24"/>
        </w:rPr>
        <w:t>;</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X - sistema de dispensa eletrônica - ferramenta informatizada, para a realização dos processos de contratação direta de bens e serviços comuns, incluídos os serviços comuns de engenharia; 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XI - termo de referência - documento elaborado com base nos estudos técnicos preliminares, que deverá conter:</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a) os elementos que embasam a avaliação do custo pela administração pública, a partir dos padrões de desempenho e qualidade estabelecidos e das condições de entrega do objeto, com as seguintes informações: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1. a definição do objeto contratual e dos métodos para a sua execução, vedadas especificações excessivas, irrelevantes ou desnecessárias, que limitem ou frustrem a competição ou a realização do certame;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2. o valor estimado do objeto da licitação demonstrado em planilhas, de acordo com o preço de mercado; 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3. o cronograma físico-financeiro, se necessário;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b) o critério de aceitação do objeto;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c) os deveres do contratado e do contratante;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d) a relação dos documentos essenciais à verificação da qualificação técnica e econômico-financeira, se necessária;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lastRenderedPageBreak/>
        <w:t>e) os procedimentos de fiscalização e gerenciamento do contrato ou da ata de registro de preços;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f) o prazo para execução do contrato; 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g) as sanções previstas de forma objetiva, suficiente e clara.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1º  A classificação de bens e serviços como comuns depende de exame predominantemente fático e de natureza técnica.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2º  Os bens e serviços que envolverem o desenvolvimento de soluções específicas de natureza intelectual, científica e técnica, caso possam ser definidos nos termos do disposto no inciso II do </w:t>
      </w:r>
      <w:r w:rsidRPr="00972CAC">
        <w:rPr>
          <w:rFonts w:ascii="Bookman Old Style" w:hAnsi="Bookman Old Style" w:cs="Arial"/>
          <w:b/>
          <w:bCs/>
          <w:color w:val="000000"/>
          <w:sz w:val="24"/>
          <w:szCs w:val="24"/>
        </w:rPr>
        <w:t>caput</w:t>
      </w:r>
      <w:r w:rsidRPr="00972CAC">
        <w:rPr>
          <w:rFonts w:ascii="Bookman Old Style" w:hAnsi="Bookman Old Style" w:cs="Arial"/>
          <w:color w:val="000000"/>
          <w:sz w:val="24"/>
          <w:szCs w:val="24"/>
        </w:rPr>
        <w:t>, serão licitados por pregão, na forma eletrônica.</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Vedações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3" w:name="art4"/>
      <w:bookmarkEnd w:id="3"/>
      <w:r w:rsidRPr="00972CAC">
        <w:rPr>
          <w:rFonts w:ascii="Bookman Old Style" w:hAnsi="Bookman Old Style" w:cs="Arial"/>
          <w:color w:val="000000"/>
          <w:sz w:val="24"/>
          <w:szCs w:val="24"/>
        </w:rPr>
        <w:t>Art. 4º  O pregão, na forma eletrônica, não se aplica 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 - contratações de obras;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 - locações imobiliárias e alienações; 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III - bens e serviços especiais, incluídos os serviços de engenharia enquadrados no disposto no inciso III do </w:t>
      </w:r>
      <w:r w:rsidRPr="00972CAC">
        <w:rPr>
          <w:rFonts w:ascii="Bookman Old Style" w:hAnsi="Bookman Old Style" w:cs="Arial"/>
          <w:b/>
          <w:bCs/>
          <w:color w:val="000000"/>
          <w:sz w:val="24"/>
          <w:szCs w:val="24"/>
        </w:rPr>
        <w:t>caput</w:t>
      </w:r>
      <w:r w:rsidRPr="00972CAC">
        <w:rPr>
          <w:rFonts w:ascii="Bookman Old Style" w:hAnsi="Bookman Old Style" w:cs="Arial"/>
          <w:color w:val="000000"/>
          <w:sz w:val="24"/>
          <w:szCs w:val="24"/>
        </w:rPr>
        <w:t> do art. 3º. </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CAPÍTULO II</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DOS PROCEDIMENTOS</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Forma de realização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4" w:name="art5"/>
      <w:bookmarkEnd w:id="4"/>
      <w:r w:rsidRPr="00972CAC">
        <w:rPr>
          <w:rFonts w:ascii="Bookman Old Style" w:hAnsi="Bookman Old Style" w:cs="Arial"/>
          <w:color w:val="000000"/>
          <w:sz w:val="24"/>
          <w:szCs w:val="24"/>
        </w:rPr>
        <w:t>Art. 5º  O pregão, na forma eletrônica, será realizado quando a disputa pelo fornecimento de bens ou pela contratação de serviços comuns ocorrer à distância e em sessão pública, por meio do Sistema de Compras do Governo federal, disponível no endereço eletrônico www.comprasgovernamentais.gov.br.</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1º  O sistema de que trata o </w:t>
      </w:r>
      <w:r w:rsidRPr="00972CAC">
        <w:rPr>
          <w:rFonts w:ascii="Bookman Old Style" w:hAnsi="Bookman Old Style" w:cs="Arial"/>
          <w:b/>
          <w:bCs/>
          <w:color w:val="000000"/>
          <w:sz w:val="24"/>
          <w:szCs w:val="24"/>
        </w:rPr>
        <w:t>caput </w:t>
      </w:r>
      <w:r w:rsidRPr="00972CAC">
        <w:rPr>
          <w:rFonts w:ascii="Bookman Old Style" w:hAnsi="Bookman Old Style" w:cs="Arial"/>
          <w:color w:val="000000"/>
          <w:sz w:val="24"/>
          <w:szCs w:val="24"/>
        </w:rPr>
        <w:t>será dotado de recursos de criptografia e de autenticação que garantam as condições de segurança nas etapas do certame.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lastRenderedPageBreak/>
        <w:t>§ 2º  Na hipótese de que trata o § 3º do art. 1º, além do disposto no </w:t>
      </w:r>
      <w:r w:rsidRPr="00972CAC">
        <w:rPr>
          <w:rFonts w:ascii="Bookman Old Style" w:hAnsi="Bookman Old Style" w:cs="Arial"/>
          <w:b/>
          <w:bCs/>
          <w:color w:val="000000"/>
          <w:sz w:val="24"/>
          <w:szCs w:val="24"/>
        </w:rPr>
        <w:t>caput</w:t>
      </w:r>
      <w:r w:rsidRPr="00972CAC">
        <w:rPr>
          <w:rFonts w:ascii="Bookman Old Style" w:hAnsi="Bookman Old Style" w:cs="Arial"/>
          <w:color w:val="000000"/>
          <w:sz w:val="24"/>
          <w:szCs w:val="24"/>
        </w:rPr>
        <w:t>, poderão ser utilizados sistemas próprios ou outros sistemas disponíveis no mercado, desde que estejam integrados à plataforma de operacionalização das modalidades de transferências voluntárias.</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Etapas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5" w:name="art6"/>
      <w:bookmarkEnd w:id="5"/>
      <w:r w:rsidRPr="00972CAC">
        <w:rPr>
          <w:rFonts w:ascii="Bookman Old Style" w:hAnsi="Bookman Old Style" w:cs="Arial"/>
          <w:color w:val="000000"/>
          <w:sz w:val="24"/>
          <w:szCs w:val="24"/>
        </w:rPr>
        <w:t>Art. 6º  A realização do pregão, na forma eletrônica, observará as seguintes etapas sucessivas: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 - planejamento da contratação;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 - publicação do aviso de edital;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III - apresentação de propostas e de documentos de habilitação;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IV – abertura da sessão pública e envio de lances, ou fase competitiva;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 - julgamento;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VI - habilitação;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VII - recursal;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VIII - adjudicação; 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IX - homologação.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Critérios de julgamento das propostas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6" w:name="art7"/>
      <w:bookmarkEnd w:id="6"/>
      <w:r w:rsidRPr="00972CAC">
        <w:rPr>
          <w:rFonts w:ascii="Bookman Old Style" w:hAnsi="Bookman Old Style" w:cs="Arial"/>
          <w:color w:val="000000"/>
          <w:sz w:val="24"/>
          <w:szCs w:val="24"/>
        </w:rPr>
        <w:t>Art. 7º  Os critérios de julgamento empregados na seleção da proposta mais vantajosa para a administração serão os de menor preço ou maior desconto, conforme dispuser o edital.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Parágrafo único.  Serão fixados critérios objetivos para definição do melhor preço, considerados os prazos para a execução do contrato e do fornecimento, as especificações técnicas, os parâmetros mínimos de desempenho e de qualidade, as diretrizes do plano de gestão de logística sustentável e as demais condições estabelecidas no edital.</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Documentação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7" w:name="art8"/>
      <w:bookmarkEnd w:id="7"/>
      <w:r w:rsidRPr="00972CAC">
        <w:rPr>
          <w:rFonts w:ascii="Bookman Old Style" w:hAnsi="Bookman Old Style" w:cs="Arial"/>
          <w:color w:val="000000"/>
          <w:sz w:val="24"/>
          <w:szCs w:val="24"/>
        </w:rPr>
        <w:lastRenderedPageBreak/>
        <w:t>Art. 8º  O processo relativo ao pregão, na forma eletrônica, será instruído com os seguintes documentos, no mínimo: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 - estudo técnico preliminar, quando necessário;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 - termo de referência;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III - planilha estimativa de despesa;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IV - previsão dos recursos orçamentários necessários, com a indicação das rubricas, exceto na hipótese de pregão para registro de preços;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 - autorização de abertura da licitação;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VI - designação do pregoeiro e da equipe de apoio;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VII - edital e respectivos anexos;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VIII - minuta do termo do contrato, ou instrumento equivalente, ou minuta da ata de registro de preços, conforme o caso;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IX - parecer jurídico;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X - documentação exigida e apresentada para a habilitação;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XI- proposta de preços do licitante;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XII - ata da sessão pública, que conterá os seguintes registros, entre outros: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a) os licitantes participantes;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b) as propostas apresentadas;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c) os avisos, os esclarecimentos e as impugnações;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d) os lances ofertados, na ordem de classificação;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e) a suspensão e o reinício da sessão, se for o caso;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f) a aceitabilidade da proposta de preço;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g) a habilitação;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lastRenderedPageBreak/>
        <w:t>h) a decisão sobre o saneamento de erros ou falhas na proposta ou na documentação;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 os recursos interpostos, as respectivas análises e as decisões; 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j) o resultado da licitação;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XIII - comprovantes das publicações: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a) do aviso do edital;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b) do extrato do contrato; 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c) dos demais atos cuja publicidade seja exigida; 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XIV - ato de homologação.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1º  A instrução do processo licitatório poderá ser realizada por meio de sistema eletrônico, de modo que os atos e os documentos de que trata este artigo, constantes dos arquivos e registros digitais, serão válidos para todos os efeitos legais, inclusive para comprovação e prestação de contas.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2º  A ata da sessão pública será disponibilizada na internet imediatamente após o seu encerramento, para acesso livre. </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CAPÍTULO III</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DO ACESSO AO SISTEMA ELETRÔNICO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Credenciamento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8" w:name="art9"/>
      <w:bookmarkEnd w:id="8"/>
      <w:r w:rsidRPr="00972CAC">
        <w:rPr>
          <w:rFonts w:ascii="Bookman Old Style" w:hAnsi="Bookman Old Style" w:cs="Arial"/>
          <w:color w:val="000000"/>
          <w:sz w:val="24"/>
          <w:szCs w:val="24"/>
        </w:rPr>
        <w:t>Art.  9º  A autoridade competente do órgão ou da entidade promotora da licitação, o pregoeiro, os membros da equipe de apoio e os licitantes que participarem do pregão, na forma eletrônica, serão previamente credenciados, perante o provedor do sistema eletrônico.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1º  O credenciamento para acesso ao sistema ocorrerá pela atribuição de chave de identificação e de senha pessoal e intransferível.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2º  Caberá à autoridade competente do órgão ou da entidade promotora da licitação solicitar, junto ao provedor do sistema, o seu credenciamento, o do pregoeiro e o dos membros da equipe de apoio.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lastRenderedPageBreak/>
        <w:t>Licitante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9" w:name="art10"/>
      <w:bookmarkEnd w:id="9"/>
      <w:r w:rsidRPr="00972CAC">
        <w:rPr>
          <w:rFonts w:ascii="Bookman Old Style" w:hAnsi="Bookman Old Style" w:cs="Arial"/>
          <w:color w:val="000000"/>
          <w:sz w:val="24"/>
          <w:szCs w:val="24"/>
        </w:rPr>
        <w:t xml:space="preserve">Art. 10.  Na hipótese de pregão promovido por órgão ou entidade integrante do </w:t>
      </w:r>
      <w:proofErr w:type="spellStart"/>
      <w:r w:rsidRPr="00972CAC">
        <w:rPr>
          <w:rFonts w:ascii="Bookman Old Style" w:hAnsi="Bookman Old Style" w:cs="Arial"/>
          <w:color w:val="000000"/>
          <w:sz w:val="24"/>
          <w:szCs w:val="24"/>
        </w:rPr>
        <w:t>Sisg</w:t>
      </w:r>
      <w:proofErr w:type="spellEnd"/>
      <w:r w:rsidRPr="00972CAC">
        <w:rPr>
          <w:rFonts w:ascii="Bookman Old Style" w:hAnsi="Bookman Old Style" w:cs="Arial"/>
          <w:color w:val="000000"/>
          <w:sz w:val="24"/>
          <w:szCs w:val="24"/>
        </w:rPr>
        <w:t xml:space="preserve">, o credenciamento do licitante e sua manutenção dependerão de registro prévio e atualizado no </w:t>
      </w:r>
      <w:proofErr w:type="spellStart"/>
      <w:r w:rsidRPr="00972CAC">
        <w:rPr>
          <w:rFonts w:ascii="Bookman Old Style" w:hAnsi="Bookman Old Style" w:cs="Arial"/>
          <w:color w:val="000000"/>
          <w:sz w:val="24"/>
          <w:szCs w:val="24"/>
        </w:rPr>
        <w:t>Sicaf</w:t>
      </w:r>
      <w:proofErr w:type="spellEnd"/>
      <w:r w:rsidRPr="00972CAC">
        <w:rPr>
          <w:rFonts w:ascii="Bookman Old Style" w:hAnsi="Bookman Old Style" w:cs="Arial"/>
          <w:color w:val="000000"/>
          <w:sz w:val="24"/>
          <w:szCs w:val="24"/>
        </w:rPr>
        <w:t>.</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10" w:name="art11"/>
      <w:bookmarkEnd w:id="10"/>
      <w:r w:rsidRPr="00972CAC">
        <w:rPr>
          <w:rFonts w:ascii="Bookman Old Style" w:hAnsi="Bookman Old Style" w:cs="Arial"/>
          <w:color w:val="000000"/>
          <w:sz w:val="24"/>
          <w:szCs w:val="24"/>
        </w:rPr>
        <w:t xml:space="preserve">Art. 11.  O credenciamento no </w:t>
      </w:r>
      <w:proofErr w:type="spellStart"/>
      <w:r w:rsidRPr="00972CAC">
        <w:rPr>
          <w:rFonts w:ascii="Bookman Old Style" w:hAnsi="Bookman Old Style" w:cs="Arial"/>
          <w:color w:val="000000"/>
          <w:sz w:val="24"/>
          <w:szCs w:val="24"/>
        </w:rPr>
        <w:t>Sicaf</w:t>
      </w:r>
      <w:proofErr w:type="spellEnd"/>
      <w:r w:rsidRPr="00972CAC">
        <w:rPr>
          <w:rFonts w:ascii="Bookman Old Style" w:hAnsi="Bookman Old Style" w:cs="Arial"/>
          <w:color w:val="000000"/>
          <w:sz w:val="24"/>
          <w:szCs w:val="24"/>
        </w:rPr>
        <w:t xml:space="preserve"> permite a participação dos interessados em qualquer pregão, na forma eletrônica, exceto quando o seu cadastro no </w:t>
      </w:r>
      <w:proofErr w:type="spellStart"/>
      <w:r w:rsidRPr="00972CAC">
        <w:rPr>
          <w:rFonts w:ascii="Bookman Old Style" w:hAnsi="Bookman Old Style" w:cs="Arial"/>
          <w:color w:val="000000"/>
          <w:sz w:val="24"/>
          <w:szCs w:val="24"/>
        </w:rPr>
        <w:t>Sicaf</w:t>
      </w:r>
      <w:proofErr w:type="spellEnd"/>
      <w:r w:rsidRPr="00972CAC">
        <w:rPr>
          <w:rFonts w:ascii="Bookman Old Style" w:hAnsi="Bookman Old Style" w:cs="Arial"/>
          <w:color w:val="000000"/>
          <w:sz w:val="24"/>
          <w:szCs w:val="24"/>
        </w:rPr>
        <w:t xml:space="preserve"> tenha sido inativado ou excluído por solicitação do credenciado ou por determinação legal. </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CAPÍTULO IV</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DA CONDUÇÃO DO PROCESSO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Órgão ou entidade promotora da licitação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11" w:name="art12"/>
      <w:bookmarkEnd w:id="11"/>
      <w:r w:rsidRPr="00972CAC">
        <w:rPr>
          <w:rFonts w:ascii="Bookman Old Style" w:hAnsi="Bookman Old Style" w:cs="Arial"/>
          <w:color w:val="000000"/>
          <w:sz w:val="24"/>
          <w:szCs w:val="24"/>
        </w:rPr>
        <w:t xml:space="preserve">Art. 12.  O pregão, na forma eletrônica, será conduzido pelo órgão ou pela entidade promotora da licitação, com apoio técnico e operacional do órgão central do </w:t>
      </w:r>
      <w:proofErr w:type="spellStart"/>
      <w:r w:rsidRPr="00972CAC">
        <w:rPr>
          <w:rFonts w:ascii="Bookman Old Style" w:hAnsi="Bookman Old Style" w:cs="Arial"/>
          <w:color w:val="000000"/>
          <w:sz w:val="24"/>
          <w:szCs w:val="24"/>
        </w:rPr>
        <w:t>Sisg</w:t>
      </w:r>
      <w:proofErr w:type="spellEnd"/>
      <w:r w:rsidRPr="00972CAC">
        <w:rPr>
          <w:rFonts w:ascii="Bookman Old Style" w:hAnsi="Bookman Old Style" w:cs="Arial"/>
          <w:color w:val="000000"/>
          <w:sz w:val="24"/>
          <w:szCs w:val="24"/>
        </w:rPr>
        <w:t xml:space="preserve">, que atuará como provedor do Sistema de Compras do Governo federal para os órgãos e entidades integrantes do </w:t>
      </w:r>
      <w:proofErr w:type="spellStart"/>
      <w:r w:rsidRPr="00972CAC">
        <w:rPr>
          <w:rFonts w:ascii="Bookman Old Style" w:hAnsi="Bookman Old Style" w:cs="Arial"/>
          <w:color w:val="000000"/>
          <w:sz w:val="24"/>
          <w:szCs w:val="24"/>
        </w:rPr>
        <w:t>Sisg</w:t>
      </w:r>
      <w:proofErr w:type="spellEnd"/>
      <w:r w:rsidRPr="00972CAC">
        <w:rPr>
          <w:rFonts w:ascii="Bookman Old Style" w:hAnsi="Bookman Old Style" w:cs="Arial"/>
          <w:color w:val="000000"/>
          <w:sz w:val="24"/>
          <w:szCs w:val="24"/>
        </w:rPr>
        <w:t>, ou por outro sistema de compras eletrônico que atenda a legislação.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Autoridade competente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12" w:name="art13"/>
      <w:bookmarkEnd w:id="12"/>
      <w:r w:rsidRPr="00972CAC">
        <w:rPr>
          <w:rFonts w:ascii="Bookman Old Style" w:hAnsi="Bookman Old Style" w:cs="Arial"/>
          <w:color w:val="000000"/>
          <w:sz w:val="24"/>
          <w:szCs w:val="24"/>
        </w:rPr>
        <w:t>Art.  13.  Caberá à autoridade competente, de acordo com as atribuições previstas no regimento ou no estatuto do órgão ou da entidade promotora da licitação: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 - designar o pregoeiro e os membros da equipe de apoio;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 - indicar o provedor do sistema;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III - determinar a abertura do processo licitatório;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IV - decidir os recursos contra os atos do pregoeiro, quando este mantiver sua decisão;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 - adjudicar o objeto da licitação, quando houver recurso;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lastRenderedPageBreak/>
        <w:t>VI - homologar o resultado da licitação; 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VII - celebrar o contrato ou assinar a ata de registro de preços. </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CAPÍTULO V</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DO PLANEJAMENTO DA CONTRATAÇÃO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Orientações gerais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13" w:name="art14"/>
      <w:bookmarkEnd w:id="13"/>
      <w:r w:rsidRPr="00972CAC">
        <w:rPr>
          <w:rFonts w:ascii="Bookman Old Style" w:hAnsi="Bookman Old Style" w:cs="Arial"/>
          <w:color w:val="000000"/>
          <w:sz w:val="24"/>
          <w:szCs w:val="24"/>
        </w:rPr>
        <w:t>Art. 14.  No planejamento do pregão, na forma eletrônica, será observado o seguinte: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 - elaboração do estudo técnico preliminar e do termo de referência;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 - aprovação do estudo técnico preliminar e do termo de referência pela autoridade competente ou por quem esta delegar;</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III - elaboração do edital, que estabelecerá os critérios de julgamento e a aceitação das propostas, o modo de disputa e, quando necessário, o intervalo mínimo de diferença de valores ou de percentuais entre os lances, que incidirá tanto em relação aos lances intermediários quanto em relação ao lance que cobrir a melhor oferta;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IV - definição das exigências de habilitação, das sanções aplicáveis, dos prazos e das condições que, pelas suas particularidades, sejam consideradas relevantes para a celebração e a execução do contrato e o atendimento das necessidades da administração pública; 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 - designação do pregoeiro e de sua equipe de apoio.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Valor estimado ou valor máximo aceitável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14" w:name="art15"/>
      <w:bookmarkEnd w:id="14"/>
      <w:r w:rsidRPr="00972CAC">
        <w:rPr>
          <w:rFonts w:ascii="Bookman Old Style" w:hAnsi="Bookman Old Style" w:cs="Arial"/>
          <w:color w:val="000000"/>
          <w:sz w:val="24"/>
          <w:szCs w:val="24"/>
        </w:rPr>
        <w:t>Art. 15.  O valor estimado ou o valor máximo aceitável para a contratação, se não constar expressamente do edital, possuirá caráter sigiloso e será disponibilizado exclusiva e permanentemente aos órgãos de controle externo e interno.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1º  O caráter sigiloso do valor estimado ou do valor máximo aceitável para a contratação será fundamentado no </w:t>
      </w:r>
      <w:hyperlink r:id="rId9" w:anchor="art7%C2%A73" w:history="1">
        <w:r w:rsidRPr="00972CAC">
          <w:rPr>
            <w:rStyle w:val="Hyperlink"/>
            <w:rFonts w:ascii="Bookman Old Style" w:hAnsi="Bookman Old Style" w:cs="Arial"/>
            <w:sz w:val="24"/>
            <w:szCs w:val="24"/>
          </w:rPr>
          <w:t>§ 3º do art. 7º da Lei nº 12.527, de 18 de novembro de 2011</w:t>
        </w:r>
      </w:hyperlink>
      <w:r w:rsidRPr="00972CAC">
        <w:rPr>
          <w:rFonts w:ascii="Bookman Old Style" w:hAnsi="Bookman Old Style" w:cs="Arial"/>
          <w:color w:val="000000"/>
          <w:sz w:val="24"/>
          <w:szCs w:val="24"/>
        </w:rPr>
        <w:t>, e no </w:t>
      </w:r>
      <w:hyperlink r:id="rId10" w:anchor="art20" w:history="1">
        <w:r w:rsidRPr="00972CAC">
          <w:rPr>
            <w:rStyle w:val="Hyperlink"/>
            <w:rFonts w:ascii="Bookman Old Style" w:hAnsi="Bookman Old Style" w:cs="Arial"/>
            <w:sz w:val="24"/>
            <w:szCs w:val="24"/>
          </w:rPr>
          <w:t>art. 20 do Decreto nº 7.724, de 16 de maio de 2012.</w:t>
        </w:r>
      </w:hyperlink>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lastRenderedPageBreak/>
        <w:t>§ 2º  Para fins do disposto no </w:t>
      </w:r>
      <w:r w:rsidRPr="00972CAC">
        <w:rPr>
          <w:rFonts w:ascii="Bookman Old Style" w:hAnsi="Bookman Old Style" w:cs="Arial"/>
          <w:b/>
          <w:bCs/>
          <w:color w:val="000000"/>
          <w:sz w:val="24"/>
          <w:szCs w:val="24"/>
        </w:rPr>
        <w:t>caput</w:t>
      </w:r>
      <w:r w:rsidRPr="00972CAC">
        <w:rPr>
          <w:rFonts w:ascii="Bookman Old Style" w:hAnsi="Bookman Old Style" w:cs="Arial"/>
          <w:color w:val="000000"/>
          <w:sz w:val="24"/>
          <w:szCs w:val="24"/>
        </w:rPr>
        <w:t>, o valor estimado ou o valor máximo aceitável para a contratação será tornado público apenas e imediatamente após o encerramento do envio de lances, sem prejuízo da divulgação do detalhamento dos quantitativos e das demais informações necessárias à elaboração das propostas.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3º  Nas hipóteses em que for adotado o critério de julgamento pelo maior desconto, o valor estimado, o valor máximo aceitável ou o valor de referência para aplicação do desconto constará obrigatoriamente do instrumento convocatório.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Designações do pregoeiro e da equipe de apoio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15" w:name="art16"/>
      <w:bookmarkEnd w:id="15"/>
      <w:r w:rsidRPr="00972CAC">
        <w:rPr>
          <w:rFonts w:ascii="Bookman Old Style" w:hAnsi="Bookman Old Style" w:cs="Arial"/>
          <w:color w:val="000000"/>
          <w:sz w:val="24"/>
          <w:szCs w:val="24"/>
        </w:rPr>
        <w:t>Art. 16.  Caberá à autoridade máxima do órgão ou da entidade, ou a quem possuir a competência, designar agentes públicos para o desempenho das funções deste Decreto, observados os seguintes requisitos: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 - o pregoeiro e os membros da equipe de apoio serão servidores do órgão ou da entidade promotora da licitação; 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 - os membros da equipe de apoio serão, em sua maioria, servidores ocupantes de cargo efetivo, preferencialmente pertencentes aos quadros permanentes do órgão ou da entidade promotora da licitação.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1º  A critério da autoridade competente, o pregoeiro e os membros da equipe de apoio poderão ser designados para uma licitação específica, para um período determinado, admitidas reconduções, ou por período indeterminado, permitida a revogação da designação a qualquer tempo.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3º  Os órgãos e as entidades de que trata o § 1º do art. 1º  estabelecerão planos de capacitação que contenham iniciativas de treinamento para a formação e a atualização técnica de pregoeiros, membros da equipe de apoio e demais agentes encarregados da instrução do processo licitatório, a serem implementadas com base em gestão por competências.</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Do pregoeiro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16" w:name="art17"/>
      <w:bookmarkEnd w:id="16"/>
      <w:r w:rsidRPr="00972CAC">
        <w:rPr>
          <w:rFonts w:ascii="Bookman Old Style" w:hAnsi="Bookman Old Style" w:cs="Arial"/>
          <w:color w:val="000000"/>
          <w:sz w:val="24"/>
          <w:szCs w:val="24"/>
        </w:rPr>
        <w:t>Art. 17.  Caberá ao pregoeiro, em especial: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 - conduzir a sessão pública;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lastRenderedPageBreak/>
        <w:t>II - receber, examinar e decidir as impugnações e os pedidos de esclarecimentos ao edital e aos anexos, além de poder requisitar subsídios formais aos responsáveis pela elaboração desses documentos;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III - verificar a conformidade da proposta em relação aos requisitos estabelecidos no edital;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IV - coordenar a sessão pública e o envio de lances;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 - verificar e julgar as condições de habilitação;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VI - sanear erros ou falhas que não alterem a substância das propostas, dos documentos de habilitação e sua validade jurídica;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VII - receber, examinar e decidir os recursos e encaminhá-los à autoridade competente quando mantiver sua decisão;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VIII - indicar o vencedor do certame;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IX - adjudicar o objeto, quando não houver recurso;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X - conduzir os trabalhos da equipe de apoio; 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XI - encaminhar o processo devidamente instruído à autoridade competente e propor a sua homologação.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Parágrafo único.  O pregoeiro poderá solicitar manifestação técnica da assessoria jurídica ou de outros setores do órgão ou da entidade, a fim de subsidiar sua decisão.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Da equipe de apoio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17" w:name="art18"/>
      <w:bookmarkEnd w:id="17"/>
      <w:r w:rsidRPr="00972CAC">
        <w:rPr>
          <w:rFonts w:ascii="Bookman Old Style" w:hAnsi="Bookman Old Style" w:cs="Arial"/>
          <w:color w:val="000000"/>
          <w:sz w:val="24"/>
          <w:szCs w:val="24"/>
        </w:rPr>
        <w:t>Art. 18.  Caberá à equipe de apoio auxiliar o pregoeiro nas etapas do processo licitatório.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Do licitante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18" w:name="art19"/>
      <w:bookmarkEnd w:id="18"/>
      <w:r w:rsidRPr="00972CAC">
        <w:rPr>
          <w:rFonts w:ascii="Bookman Old Style" w:hAnsi="Bookman Old Style" w:cs="Arial"/>
          <w:color w:val="000000"/>
          <w:sz w:val="24"/>
          <w:szCs w:val="24"/>
        </w:rPr>
        <w:t>Art. 19.  Caberá ao licitante interessado em participar do pregão, na forma eletrônica: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xml:space="preserve">I - credenciar-se previamente no </w:t>
      </w:r>
      <w:proofErr w:type="spellStart"/>
      <w:r w:rsidRPr="00972CAC">
        <w:rPr>
          <w:rFonts w:ascii="Bookman Old Style" w:hAnsi="Bookman Old Style" w:cs="Arial"/>
          <w:color w:val="000000"/>
          <w:sz w:val="24"/>
          <w:szCs w:val="24"/>
        </w:rPr>
        <w:t>Sicaf</w:t>
      </w:r>
      <w:proofErr w:type="spellEnd"/>
      <w:r w:rsidRPr="00972CAC">
        <w:rPr>
          <w:rFonts w:ascii="Bookman Old Style" w:hAnsi="Bookman Old Style" w:cs="Arial"/>
          <w:color w:val="000000"/>
          <w:sz w:val="24"/>
          <w:szCs w:val="24"/>
        </w:rPr>
        <w:t xml:space="preserve"> ou, na hipótese de que trata o §2º do art. 5º, no sistema eletrônico utilizado no certame;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lastRenderedPageBreak/>
        <w:t>II - remeter, no prazo estabelecido, exclusivamente via sistema, os documentos de habilitação e a proposta e, quando necessário, os documentos complementares;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III -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IV - acompanhar as operações no sistema eletrônico durante o processo licitatório e responsabilizar-se pelo ônus decorrente da perda de negócios diante da inobservância de mensagens emitidas pelo sistema ou de sua desconexão;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 - comunicar imediatamente ao provedor do sistema qualquer acontecimento que possa comprometer o sigilo ou a inviabilidade do uso da senha, para imediato bloqueio de acesso;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VI - utilizar a chave de identificação e a senha de acesso para participar do pregão na forma eletrônica; 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VII - solicitar o cancelamento da chave de identificação ou da senha de acesso por interesse próprio.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xml:space="preserve">Parágrafo único.  O fornecedor descredenciado no </w:t>
      </w:r>
      <w:proofErr w:type="spellStart"/>
      <w:r w:rsidRPr="00972CAC">
        <w:rPr>
          <w:rFonts w:ascii="Bookman Old Style" w:hAnsi="Bookman Old Style" w:cs="Arial"/>
          <w:color w:val="000000"/>
          <w:sz w:val="24"/>
          <w:szCs w:val="24"/>
        </w:rPr>
        <w:t>Sicaf</w:t>
      </w:r>
      <w:proofErr w:type="spellEnd"/>
      <w:r w:rsidRPr="00972CAC">
        <w:rPr>
          <w:rFonts w:ascii="Bookman Old Style" w:hAnsi="Bookman Old Style" w:cs="Arial"/>
          <w:color w:val="000000"/>
          <w:sz w:val="24"/>
          <w:szCs w:val="24"/>
        </w:rPr>
        <w:t xml:space="preserve"> terá sua chave de identificação e senha suspensas automaticamente. </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CAPÍTULO VI</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DA PUBLICAÇÃO DO AVISO DO EDITAL</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Publicação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19" w:name="art20"/>
      <w:bookmarkEnd w:id="19"/>
      <w:r w:rsidRPr="00972CAC">
        <w:rPr>
          <w:rFonts w:ascii="Bookman Old Style" w:hAnsi="Bookman Old Style" w:cs="Arial"/>
          <w:color w:val="000000"/>
          <w:sz w:val="24"/>
          <w:szCs w:val="24"/>
        </w:rPr>
        <w:t>Art. 20.  A fase externa do pregão, na forma eletrônica, será iniciada com a convocação dos interessados por meio da publicação do aviso do edital no Diário Oficial da União e no sítio eletrônico oficial do órgão ou da entidade promotora da licitação.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xml:space="preserve">Parágrafo único.  Na hipótese de que trata o § 3º do art. 1º, a publicação ocorrerá na imprensa oficial do respectivo Estado, do Distrito </w:t>
      </w:r>
      <w:r w:rsidRPr="00972CAC">
        <w:rPr>
          <w:rFonts w:ascii="Bookman Old Style" w:hAnsi="Bookman Old Style" w:cs="Arial"/>
          <w:color w:val="000000"/>
          <w:sz w:val="24"/>
          <w:szCs w:val="24"/>
        </w:rPr>
        <w:lastRenderedPageBreak/>
        <w:t>Federal ou do Município e no sítio eletrônico oficial do órgão ou da entidade promotora da licitação.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Edital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20" w:name="art21"/>
      <w:bookmarkEnd w:id="20"/>
      <w:r w:rsidRPr="00972CAC">
        <w:rPr>
          <w:rFonts w:ascii="Bookman Old Style" w:hAnsi="Bookman Old Style" w:cs="Arial"/>
          <w:color w:val="000000"/>
          <w:sz w:val="24"/>
          <w:szCs w:val="24"/>
        </w:rPr>
        <w:t xml:space="preserve">Art. 21.  Os órgãos ou as entidades integrantes do </w:t>
      </w:r>
      <w:proofErr w:type="spellStart"/>
      <w:r w:rsidRPr="00972CAC">
        <w:rPr>
          <w:rFonts w:ascii="Bookman Old Style" w:hAnsi="Bookman Old Style" w:cs="Arial"/>
          <w:color w:val="000000"/>
          <w:sz w:val="24"/>
          <w:szCs w:val="24"/>
        </w:rPr>
        <w:t>Sisg</w:t>
      </w:r>
      <w:proofErr w:type="spellEnd"/>
      <w:r w:rsidRPr="00972CAC">
        <w:rPr>
          <w:rFonts w:ascii="Bookman Old Style" w:hAnsi="Bookman Old Style" w:cs="Arial"/>
          <w:color w:val="000000"/>
          <w:sz w:val="24"/>
          <w:szCs w:val="24"/>
        </w:rPr>
        <w:t xml:space="preserve"> e aqueles que aderirem ao Sistema Compras do Governo federal disponibilizarão a íntegra do edital no endereço eletrônico www.comprasgovernamentais.gov.br e no sítio eletrônico do órgão ou da entidade promotora do pregão. </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Parágrafo único.  Na hipótese do § 2º do art. 5º, o edital será disponibilizado na íntegra no sítio eletrônico do órgão ou da entidade promotora do pregão e no portal do sistema utilizado para a realização do pregão.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Modificação do edital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21" w:name="art22"/>
      <w:bookmarkEnd w:id="21"/>
      <w:r w:rsidRPr="00972CAC">
        <w:rPr>
          <w:rFonts w:ascii="Bookman Old Style" w:hAnsi="Bookman Old Style" w:cs="Arial"/>
          <w:color w:val="000000"/>
          <w:sz w:val="24"/>
          <w:szCs w:val="24"/>
        </w:rPr>
        <w:t>Art. 22.  Modificações no edital serão divulgadas pelo mesmo instrumento de publicação utilizado para divulgação do texto original e o prazo inicialmente estabelecido será reaberto, exceto se, inquestionavelmente, a alteração não afetar a formulação das propostas, resguardado o tratamento isonômico aos licitantes.</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Esclarecimentos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22" w:name="art23"/>
      <w:bookmarkEnd w:id="22"/>
      <w:r w:rsidRPr="00972CAC">
        <w:rPr>
          <w:rFonts w:ascii="Bookman Old Style" w:hAnsi="Bookman Old Style" w:cs="Arial"/>
          <w:color w:val="000000"/>
          <w:sz w:val="24"/>
          <w:szCs w:val="24"/>
        </w:rPr>
        <w:t>Art. 23.  Os pedidos de esclarecimentos referentes ao processo licitatório serão enviados ao pregoeiro, até três dias úteis anteriores à data fixada para abertura da sessão pública, por meio eletrônico, na forma do edital.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1º  O pregoeiro responderá aos pedidos de esclarecimentos no prazo de dois dias úteis, contado da data de recebimento do pedido, e poderá requisitar subsídios formais aos responsáveis pela elaboração do edital e dos anexos.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2º  As respostas aos pedidos de esclarecimentos serão divulgadas pelo sistema e vincularão os participantes e a administração.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Impugnação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23" w:name="art24"/>
      <w:bookmarkEnd w:id="23"/>
      <w:r w:rsidRPr="00972CAC">
        <w:rPr>
          <w:rFonts w:ascii="Bookman Old Style" w:hAnsi="Bookman Old Style" w:cs="Arial"/>
          <w:color w:val="000000"/>
          <w:sz w:val="24"/>
          <w:szCs w:val="24"/>
        </w:rPr>
        <w:lastRenderedPageBreak/>
        <w:t>Art. 24.  Qualquer pessoa poderá impugnar os termos do edital do pregão, por meio eletrônico, na forma prevista no edital, até três dias úteis anteriores à data fixada para abertura da sessão pública.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1º  A impugnação não possui efeito suspensivo e caberá ao pregoeiro, auxiliado pelos responsáveis pela elaboração do edital e dos anexos, decidir sobre a impugnação no prazo de dois dias úteis, contado do data de recebimento da impugnação.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2º  A concessão de efeito suspensivo à impugnação é medida excepcional e deverá ser motivada pelo pregoeiro, nos autos do processo de licitação.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3º  Acolhida a impugnação contra o edital, será definida e publicada nova data para realização do certame. </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CAPÍTULO VII</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DA APRESENTAÇÃO DA PROPOSTA E DOS DOCUMENTOS DE HABILITAÇÃO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Prazo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24" w:name="art25"/>
      <w:bookmarkEnd w:id="24"/>
      <w:r w:rsidRPr="00972CAC">
        <w:rPr>
          <w:rFonts w:ascii="Bookman Old Style" w:hAnsi="Bookman Old Style" w:cs="Arial"/>
          <w:color w:val="000000"/>
          <w:sz w:val="24"/>
          <w:szCs w:val="24"/>
        </w:rPr>
        <w:t>Art. 25.  O prazo fixado para a apresentação das propostas e dos documentos de habilitação não será inferior a oito dias úteis, contado da data de publicação do aviso do edital.</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Apresentação da proposta e dos documentos de habilitação pelo licitante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25" w:name="art26"/>
      <w:bookmarkEnd w:id="25"/>
      <w:r w:rsidRPr="00972CAC">
        <w:rPr>
          <w:rFonts w:ascii="Bookman Old Style" w:hAnsi="Bookman Old Style" w:cs="Arial"/>
          <w:color w:val="000000"/>
          <w:sz w:val="24"/>
          <w:szCs w:val="24"/>
        </w:rPr>
        <w:t>Art. 26.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1º  A etapa de que trata o </w:t>
      </w:r>
      <w:r w:rsidRPr="00972CAC">
        <w:rPr>
          <w:rFonts w:ascii="Bookman Old Style" w:hAnsi="Bookman Old Style" w:cs="Arial"/>
          <w:b/>
          <w:bCs/>
          <w:color w:val="000000"/>
          <w:sz w:val="24"/>
          <w:szCs w:val="24"/>
        </w:rPr>
        <w:t>caput</w:t>
      </w:r>
      <w:r w:rsidRPr="00972CAC">
        <w:rPr>
          <w:rFonts w:ascii="Bookman Old Style" w:hAnsi="Bookman Old Style" w:cs="Arial"/>
          <w:color w:val="000000"/>
          <w:sz w:val="24"/>
          <w:szCs w:val="24"/>
        </w:rPr>
        <w:t> será encerrada com a abertura da sessão pública.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xml:space="preserve">§ 2º  Os licitantes poderão deixar de apresentar os documentos de habilitação que constem do </w:t>
      </w:r>
      <w:proofErr w:type="spellStart"/>
      <w:r w:rsidRPr="00972CAC">
        <w:rPr>
          <w:rFonts w:ascii="Bookman Old Style" w:hAnsi="Bookman Old Style" w:cs="Arial"/>
          <w:color w:val="000000"/>
          <w:sz w:val="24"/>
          <w:szCs w:val="24"/>
        </w:rPr>
        <w:t>Sicaf</w:t>
      </w:r>
      <w:proofErr w:type="spellEnd"/>
      <w:r w:rsidRPr="00972CAC">
        <w:rPr>
          <w:rFonts w:ascii="Bookman Old Style" w:hAnsi="Bookman Old Style" w:cs="Arial"/>
          <w:color w:val="000000"/>
          <w:sz w:val="24"/>
          <w:szCs w:val="24"/>
        </w:rPr>
        <w:t xml:space="preserve"> e de sistemas semelhantes mantidos pelos Estados, pelo Distrito Federal ou pelos Municípios, quando a licitação for </w:t>
      </w:r>
      <w:r w:rsidRPr="00972CAC">
        <w:rPr>
          <w:rFonts w:ascii="Bookman Old Style" w:hAnsi="Bookman Old Style" w:cs="Arial"/>
          <w:color w:val="000000"/>
          <w:sz w:val="24"/>
          <w:szCs w:val="24"/>
        </w:rPr>
        <w:lastRenderedPageBreak/>
        <w:t>realizada por esses entes federativos, assegurado aos demais licitantes o direito de acesso aos dados constantes dos sistemas.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3º  O envio da proposta, acompanhada dos documentos de habilitação exigidos no edital, nos termos do disposto no </w:t>
      </w:r>
      <w:r w:rsidRPr="00972CAC">
        <w:rPr>
          <w:rFonts w:ascii="Bookman Old Style" w:hAnsi="Bookman Old Style" w:cs="Arial"/>
          <w:b/>
          <w:bCs/>
          <w:color w:val="000000"/>
          <w:sz w:val="24"/>
          <w:szCs w:val="24"/>
        </w:rPr>
        <w:t>caput</w:t>
      </w:r>
      <w:r w:rsidRPr="00972CAC">
        <w:rPr>
          <w:rFonts w:ascii="Bookman Old Style" w:hAnsi="Bookman Old Style" w:cs="Arial"/>
          <w:color w:val="000000"/>
          <w:sz w:val="24"/>
          <w:szCs w:val="24"/>
        </w:rPr>
        <w:t>, ocorrerá por meio de chave de acesso e senha.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4º  O licitante declarará, em campo próprio do sistema, o cumprimento dos requisitos para a habilitação e a conformidade de sua proposta com as exigências do edital.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5º  A falsidade da declaração de que trata o § 4º sujeitará o licitante às sanções previstas neste Decreto.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6º  Os licitantes poderão retirar ou substituir a proposta e os documentos de habilitação anteriormente inseridos no sistema, até a abertura da sessão pública.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7º  Na etapa de apresentação da proposta e dos documentos de habilitação pelo licitante, observado o disposto no </w:t>
      </w:r>
      <w:r w:rsidRPr="00972CAC">
        <w:rPr>
          <w:rFonts w:ascii="Bookman Old Style" w:hAnsi="Bookman Old Style" w:cs="Arial"/>
          <w:b/>
          <w:bCs/>
          <w:color w:val="000000"/>
          <w:sz w:val="24"/>
          <w:szCs w:val="24"/>
        </w:rPr>
        <w:t>caput</w:t>
      </w:r>
      <w:r w:rsidRPr="00972CAC">
        <w:rPr>
          <w:rFonts w:ascii="Bookman Old Style" w:hAnsi="Bookman Old Style" w:cs="Arial"/>
          <w:color w:val="000000"/>
          <w:sz w:val="24"/>
          <w:szCs w:val="24"/>
        </w:rPr>
        <w:t>, não haverá ordem de classificação das propostas, o que ocorrerá somente após os procedimentos de que trata o Capítulo IX.</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8º  Os documentos que compõem a proposta e a habilitação do licitante melhor classificado somente serão disponibilizados para avaliação do pregoeiro e para acesso público após o encerramento do envio de lances.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9º  Os documentos complementares à proposta e à habilitação, quando necessários à confirmação daqueles exigidos no edital e já apresentados, serão encaminhados pelo licitante melhor classificado após o encerramento do envio de lances, observado o prazo de que trata o § 2º do art. 38. </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CAPÍTULO VIII</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DA ABERTURA DA SESSÃO PÚBLICA E DO ENVIO DE LANCES</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Horário de abertura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26" w:name="art27"/>
      <w:bookmarkEnd w:id="26"/>
      <w:r w:rsidRPr="00972CAC">
        <w:rPr>
          <w:rFonts w:ascii="Bookman Old Style" w:hAnsi="Bookman Old Style" w:cs="Arial"/>
          <w:color w:val="000000"/>
          <w:sz w:val="24"/>
          <w:szCs w:val="24"/>
        </w:rPr>
        <w:t>Art. 27.  A partir do horário previsto no edital, a sessão pública na internet será aberta pelo pregoeiro com a utilização de sua chave de acesso e senha.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lastRenderedPageBreak/>
        <w:t>§ 1º  Os licitantes poderão participar da sessão pública na internet, mediante a  utilização de sua chave de acesso e senha.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2º  O sistema disponibilizará campo próprio para troca de mensagens entre o pregoeiro e os licitantes.</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Conformidade das propostas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27" w:name="art28"/>
      <w:bookmarkEnd w:id="27"/>
      <w:r w:rsidRPr="00972CAC">
        <w:rPr>
          <w:rFonts w:ascii="Bookman Old Style" w:hAnsi="Bookman Old Style" w:cs="Arial"/>
          <w:color w:val="000000"/>
          <w:sz w:val="24"/>
          <w:szCs w:val="24"/>
        </w:rPr>
        <w:t>Art. 28.  O pregoeiro verificará as propostas apresentadas e desclassificará aquelas que não estejam em conformidade com os requisitos estabelecidos no edital.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Parágrafo único.  A desclassificação da proposta será fundamentada e registrada no sistema, acompanhado em tempo real por todos os participantes.</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Ordenação e classificação das propostas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28" w:name="art29"/>
      <w:bookmarkEnd w:id="28"/>
      <w:r w:rsidRPr="00972CAC">
        <w:rPr>
          <w:rFonts w:ascii="Bookman Old Style" w:hAnsi="Bookman Old Style" w:cs="Arial"/>
          <w:color w:val="000000"/>
          <w:sz w:val="24"/>
          <w:szCs w:val="24"/>
        </w:rPr>
        <w:t>Art. 29.  O sistema ordenará automaticamente as propostas classificadas pelo pregoeiro.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Parágrafo único.  Somente as propostas classificadas pelo pregoeiro participarão da etapa de envio de lances.</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Início da fase competitiva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29" w:name="art30"/>
      <w:bookmarkEnd w:id="29"/>
      <w:r w:rsidRPr="00972CAC">
        <w:rPr>
          <w:rFonts w:ascii="Bookman Old Style" w:hAnsi="Bookman Old Style" w:cs="Arial"/>
          <w:color w:val="000000"/>
          <w:sz w:val="24"/>
          <w:szCs w:val="24"/>
        </w:rPr>
        <w:t>Art. 30.  Classificadas as propostas, o pregoeiro dará início à fase competitiva, oportunidade em que os licitantes poderão encaminhar lances exclusivamente por meio do sistema eletrônico.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1º  O licitante será imediatamente informado do recebimento do lance e do valor consignado no registro.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2º  Os licitantes poderão oferecer lances sucessivos, observados o horário fixado para abertura da sessão pública e as regras estabelecidas no edital.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xml:space="preserve">§ 3º  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w:t>
      </w:r>
      <w:r w:rsidRPr="00972CAC">
        <w:rPr>
          <w:rFonts w:ascii="Bookman Old Style" w:hAnsi="Bookman Old Style" w:cs="Arial"/>
          <w:color w:val="000000"/>
          <w:sz w:val="24"/>
          <w:szCs w:val="24"/>
        </w:rPr>
        <w:lastRenderedPageBreak/>
        <w:t>lances intermediários quanto em relação ao lance que cobrir a melhor oferta.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4º  Não serão aceitos dois ou mais lances iguais e prevalecerá aquele que for recebido e registrado primeiro.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5º  Durante a sessão pública, os licitantes serão informados, em tempo real, do valor do menor lance registrado, vedada a identificação do licitante.</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Modos de disputa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30" w:name="art31"/>
      <w:bookmarkEnd w:id="30"/>
      <w:r w:rsidRPr="00972CAC">
        <w:rPr>
          <w:rFonts w:ascii="Bookman Old Style" w:hAnsi="Bookman Old Style" w:cs="Arial"/>
          <w:color w:val="000000"/>
          <w:sz w:val="24"/>
          <w:szCs w:val="24"/>
        </w:rPr>
        <w:t>Art. 31.  Serão adotados para o envio de lances no pregão eletrônico os seguintes modos de disputa: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 - aberto - os licitantes apresentarão lances públicos e sucessivos, com prorrogações, conforme o critério de julgamento adotado no edital; ou</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 - aberto e fechado - os licitantes apresentarão lances públicos e sucessivos, com lance final e fechado, conforme o critério de julgamento adotado no edital.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Parágrafo único.  No modo de disputa aberto, o edital preverá intervalo mínimo de diferença de valores ou de percentuais entre os lances, que incidirá tanto em relação aos lances intermediários quanto em relação ao lance que cobrir a melhor oferta.</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Modo de disputa aberto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31" w:name="art32"/>
      <w:bookmarkEnd w:id="31"/>
      <w:r w:rsidRPr="00972CAC">
        <w:rPr>
          <w:rFonts w:ascii="Bookman Old Style" w:hAnsi="Bookman Old Style" w:cs="Arial"/>
          <w:color w:val="000000"/>
          <w:sz w:val="24"/>
          <w:szCs w:val="24"/>
        </w:rPr>
        <w:t>Art. 32.  No modo de disputa aberto, de que trata o inciso I do </w:t>
      </w:r>
      <w:r w:rsidRPr="00972CAC">
        <w:rPr>
          <w:rFonts w:ascii="Bookman Old Style" w:hAnsi="Bookman Old Style" w:cs="Arial"/>
          <w:b/>
          <w:bCs/>
          <w:color w:val="000000"/>
          <w:sz w:val="24"/>
          <w:szCs w:val="24"/>
        </w:rPr>
        <w:t>caput</w:t>
      </w:r>
      <w:r w:rsidRPr="00972CAC">
        <w:rPr>
          <w:rFonts w:ascii="Bookman Old Style" w:hAnsi="Bookman Old Style" w:cs="Arial"/>
          <w:color w:val="000000"/>
          <w:sz w:val="24"/>
          <w:szCs w:val="24"/>
        </w:rPr>
        <w:t> do art. 31, a etapa de envio de lances na sessão pública durará dez minutos e, após isso, será prorrogada automaticamente pelo sistema quando houver lance ofertado nos últimos dois minutos do período de duração da sessão pública.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1º  A prorrogação automática da etapa de envio de lances, de que trata o </w:t>
      </w:r>
      <w:r w:rsidRPr="00972CAC">
        <w:rPr>
          <w:rFonts w:ascii="Bookman Old Style" w:hAnsi="Bookman Old Style" w:cs="Arial"/>
          <w:b/>
          <w:bCs/>
          <w:color w:val="000000"/>
          <w:sz w:val="24"/>
          <w:szCs w:val="24"/>
        </w:rPr>
        <w:t>caput</w:t>
      </w:r>
      <w:r w:rsidRPr="00972CAC">
        <w:rPr>
          <w:rFonts w:ascii="Bookman Old Style" w:hAnsi="Bookman Old Style" w:cs="Arial"/>
          <w:color w:val="000000"/>
          <w:sz w:val="24"/>
          <w:szCs w:val="24"/>
        </w:rPr>
        <w:t>, será de dois minutos e ocorrerá sucessivamente sempre que houver lances enviados nesse período de prorrogação, inclusive quando se tratar de lances intermediários.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2º  Na hipótese de não haver novos lances na forma estabelecida no </w:t>
      </w:r>
      <w:r w:rsidRPr="00972CAC">
        <w:rPr>
          <w:rFonts w:ascii="Bookman Old Style" w:hAnsi="Bookman Old Style" w:cs="Arial"/>
          <w:b/>
          <w:bCs/>
          <w:color w:val="000000"/>
          <w:sz w:val="24"/>
          <w:szCs w:val="24"/>
        </w:rPr>
        <w:t>caput </w:t>
      </w:r>
      <w:r w:rsidRPr="00972CAC">
        <w:rPr>
          <w:rFonts w:ascii="Bookman Old Style" w:hAnsi="Bookman Old Style" w:cs="Arial"/>
          <w:color w:val="000000"/>
          <w:sz w:val="24"/>
          <w:szCs w:val="24"/>
        </w:rPr>
        <w:t>e no § 1º, a sessão pública será encerrada automaticamente.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lastRenderedPageBreak/>
        <w:t>§ 3º  Encerrada a sessão pública sem prorrogação automática pelo sistema, nos termos do disposto no § 1º, o pregoeiro poderá, assessorado pela equipe de apoio, admitir o reinício da etapa de envio de lances, em prol da consecução do melhor preço disposto no parágrafo único do art. 7º, mediante justificativa.</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Modo de disputa aberto e fechado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32" w:name="art33"/>
      <w:bookmarkEnd w:id="32"/>
      <w:r w:rsidRPr="00972CAC">
        <w:rPr>
          <w:rFonts w:ascii="Bookman Old Style" w:hAnsi="Bookman Old Style" w:cs="Arial"/>
          <w:color w:val="000000"/>
          <w:sz w:val="24"/>
          <w:szCs w:val="24"/>
        </w:rPr>
        <w:t>Art. 33.  No modo de disputa aberto e fechado, de que trata o inciso II do </w:t>
      </w:r>
      <w:r w:rsidRPr="00972CAC">
        <w:rPr>
          <w:rFonts w:ascii="Bookman Old Style" w:hAnsi="Bookman Old Style" w:cs="Arial"/>
          <w:b/>
          <w:bCs/>
          <w:color w:val="000000"/>
          <w:sz w:val="24"/>
          <w:szCs w:val="24"/>
        </w:rPr>
        <w:t>caput</w:t>
      </w:r>
      <w:r w:rsidRPr="00972CAC">
        <w:rPr>
          <w:rFonts w:ascii="Bookman Old Style" w:hAnsi="Bookman Old Style" w:cs="Arial"/>
          <w:color w:val="000000"/>
          <w:sz w:val="24"/>
          <w:szCs w:val="24"/>
        </w:rPr>
        <w:t> do art. 31, a etapa de envio de lances da sessão pública terá duração de quinze minutos.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1º  Encerrado o prazo previsto no </w:t>
      </w:r>
      <w:r w:rsidRPr="00972CAC">
        <w:rPr>
          <w:rFonts w:ascii="Bookman Old Style" w:hAnsi="Bookman Old Style" w:cs="Arial"/>
          <w:b/>
          <w:bCs/>
          <w:color w:val="000000"/>
          <w:sz w:val="24"/>
          <w:szCs w:val="24"/>
        </w:rPr>
        <w:t>caput</w:t>
      </w:r>
      <w:r w:rsidRPr="00972CAC">
        <w:rPr>
          <w:rFonts w:ascii="Bookman Old Style" w:hAnsi="Bookman Old Style" w:cs="Arial"/>
          <w:color w:val="000000"/>
          <w:sz w:val="24"/>
          <w:szCs w:val="24"/>
        </w:rPr>
        <w:t>, o sistema encaminhará o aviso de fechamento iminente dos lances e, transcorrido o período de até dez minutos, aleatoriamente determinado, a recepção de lances será automaticamente encerrada.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2º  Encerrado o prazo de que trata o § 1º, o sistema abrirá a oportunidade para que o autor da oferta de valor mais baixo e os autores das ofertas com valores até dez por cento superiores àquela possam ofertar um lance final e fechado em até cinco minutos, que será sigiloso até o encerramento deste prazo.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3º  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xml:space="preserve">§ 4º  Encerrados os prazos estabelecidos nos § 2º e § 3º, o sistema ordenará os lances em ordem crescente de </w:t>
      </w:r>
      <w:proofErr w:type="spellStart"/>
      <w:r w:rsidRPr="00972CAC">
        <w:rPr>
          <w:rFonts w:ascii="Bookman Old Style" w:hAnsi="Bookman Old Style" w:cs="Arial"/>
          <w:color w:val="000000"/>
          <w:sz w:val="24"/>
          <w:szCs w:val="24"/>
        </w:rPr>
        <w:t>vantajosidade</w:t>
      </w:r>
      <w:proofErr w:type="spellEnd"/>
      <w:r w:rsidRPr="00972CAC">
        <w:rPr>
          <w:rFonts w:ascii="Bookman Old Style" w:hAnsi="Bookman Old Style" w:cs="Arial"/>
          <w:color w:val="000000"/>
          <w:sz w:val="24"/>
          <w:szCs w:val="24"/>
        </w:rPr>
        <w:t>.</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5º  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 o disposto no § 4º.</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xml:space="preserve">§ 6º  Na hipótese de não haver licitante classificado na etapa de lance fechado que atenda às exigências para habilitação, o pregoeiro poderá, </w:t>
      </w:r>
      <w:r w:rsidRPr="00972CAC">
        <w:rPr>
          <w:rFonts w:ascii="Bookman Old Style" w:hAnsi="Bookman Old Style" w:cs="Arial"/>
          <w:color w:val="000000"/>
          <w:sz w:val="24"/>
          <w:szCs w:val="24"/>
        </w:rPr>
        <w:lastRenderedPageBreak/>
        <w:t>auxiliado pela equipe de apoio, mediante justificativa, admitir o reinício da etapa fechada, nos termos do disposto no § 5º.</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Desconexão do sistema na etapa de lances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33" w:name="art34"/>
      <w:bookmarkEnd w:id="33"/>
      <w:r w:rsidRPr="00972CAC">
        <w:rPr>
          <w:rFonts w:ascii="Bookman Old Style" w:hAnsi="Bookman Old Style" w:cs="Arial"/>
          <w:color w:val="000000"/>
          <w:sz w:val="24"/>
          <w:szCs w:val="24"/>
        </w:rPr>
        <w:t>Art. 34.  Na hipótese de o sistema eletrônico desconectar para o pregoeiro no decorrer da etapa de envio de lances da sessão pública e permanecer acessível aos licitantes, os lances continuarão sendo recebidos, sem prejuízo dos atos realizados.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34" w:name="art35"/>
      <w:bookmarkEnd w:id="34"/>
      <w:r w:rsidRPr="00972CAC">
        <w:rPr>
          <w:rFonts w:ascii="Bookman Old Style" w:hAnsi="Bookman Old Style" w:cs="Arial"/>
          <w:color w:val="000000"/>
          <w:sz w:val="24"/>
          <w:szCs w:val="24"/>
        </w:rPr>
        <w:t>Art. 35.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Critérios de desempate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35" w:name="art36"/>
      <w:bookmarkEnd w:id="35"/>
      <w:r w:rsidRPr="00972CAC">
        <w:rPr>
          <w:rFonts w:ascii="Bookman Old Style" w:hAnsi="Bookman Old Style" w:cs="Arial"/>
          <w:color w:val="000000"/>
          <w:sz w:val="24"/>
          <w:szCs w:val="24"/>
        </w:rPr>
        <w:t>Art. 36.  Após a etapa de envio de lances, haverá a aplicação dos critérios de desempate previstos nos </w:t>
      </w:r>
      <w:hyperlink r:id="rId11" w:anchor="art44" w:history="1">
        <w:r w:rsidRPr="00972CAC">
          <w:rPr>
            <w:rStyle w:val="Hyperlink"/>
            <w:rFonts w:ascii="Bookman Old Style" w:hAnsi="Bookman Old Style" w:cs="Arial"/>
            <w:sz w:val="24"/>
            <w:szCs w:val="24"/>
          </w:rPr>
          <w:t>art. 44</w:t>
        </w:r>
      </w:hyperlink>
      <w:r w:rsidRPr="00972CAC">
        <w:rPr>
          <w:rFonts w:ascii="Bookman Old Style" w:hAnsi="Bookman Old Style" w:cs="Arial"/>
          <w:color w:val="000000"/>
          <w:sz w:val="24"/>
          <w:szCs w:val="24"/>
        </w:rPr>
        <w:t> e </w:t>
      </w:r>
      <w:hyperlink r:id="rId12" w:anchor="art45" w:history="1">
        <w:r w:rsidRPr="00972CAC">
          <w:rPr>
            <w:rStyle w:val="Hyperlink"/>
            <w:rFonts w:ascii="Bookman Old Style" w:hAnsi="Bookman Old Style" w:cs="Arial"/>
            <w:sz w:val="24"/>
            <w:szCs w:val="24"/>
          </w:rPr>
          <w:t>art. 45 da Lei Complementar nº 123, de 14 de dezembro de 2006</w:t>
        </w:r>
      </w:hyperlink>
      <w:r w:rsidRPr="00972CAC">
        <w:rPr>
          <w:rFonts w:ascii="Bookman Old Style" w:hAnsi="Bookman Old Style" w:cs="Arial"/>
          <w:color w:val="000000"/>
          <w:sz w:val="24"/>
          <w:szCs w:val="24"/>
        </w:rPr>
        <w:t>, seguido da aplicação do critério estabelecido no </w:t>
      </w:r>
      <w:hyperlink r:id="rId13" w:anchor="art3%C2%A72" w:history="1">
        <w:r w:rsidRPr="00972CAC">
          <w:rPr>
            <w:rStyle w:val="Hyperlink"/>
            <w:rFonts w:ascii="Bookman Old Style" w:hAnsi="Bookman Old Style" w:cs="Arial"/>
            <w:sz w:val="24"/>
            <w:szCs w:val="24"/>
          </w:rPr>
          <w:t>§ 2º do art. 3º da Lei nº 8.666, de 1993</w:t>
        </w:r>
      </w:hyperlink>
      <w:r w:rsidRPr="00972CAC">
        <w:rPr>
          <w:rFonts w:ascii="Bookman Old Style" w:hAnsi="Bookman Old Style" w:cs="Arial"/>
          <w:color w:val="000000"/>
          <w:sz w:val="24"/>
          <w:szCs w:val="24"/>
        </w:rPr>
        <w:t>, se não houver licitante que atenda à primeira hipótese.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36" w:name="art37"/>
      <w:bookmarkEnd w:id="36"/>
      <w:r w:rsidRPr="00972CAC">
        <w:rPr>
          <w:rFonts w:ascii="Bookman Old Style" w:hAnsi="Bookman Old Style" w:cs="Arial"/>
          <w:color w:val="000000"/>
          <w:sz w:val="24"/>
          <w:szCs w:val="24"/>
        </w:rPr>
        <w:t>Art. 37.  Os critérios de desempate serão aplicados nos termos do art. 36, caso não haja envio de lances após o início da fase competitiva.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Parágrafo único.  Na hipótese de persistir o empate, a proposta vencedora será sorteada pelo sistema eletrônico dentre as propostas empatadas. </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CAPÍTULO IX</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DO JULGAMENTO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Negociação da proposta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37" w:name="art38"/>
      <w:bookmarkEnd w:id="37"/>
      <w:r w:rsidRPr="00972CAC">
        <w:rPr>
          <w:rFonts w:ascii="Bookman Old Style" w:hAnsi="Bookman Old Style" w:cs="Arial"/>
          <w:color w:val="000000"/>
          <w:sz w:val="24"/>
          <w:szCs w:val="24"/>
        </w:rPr>
        <w:t>Art. 38.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lastRenderedPageBreak/>
        <w:t>§ 1º  A negociação será realizada por meio do sistema e poderá ser acompanhada pelos demais licitantes.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2º  O instrumento convocatório deverá estabelecer prazo de, no mínimo, duas horas, contado da solicitação do pregoeiro no sistema, para envio da proposta e, se necessário, dos documentos complementares, adequada ao último lance ofertado após a negociação de que trata o </w:t>
      </w:r>
      <w:r w:rsidRPr="00972CAC">
        <w:rPr>
          <w:rFonts w:ascii="Bookman Old Style" w:hAnsi="Bookman Old Style" w:cs="Arial"/>
          <w:b/>
          <w:bCs/>
          <w:color w:val="000000"/>
          <w:sz w:val="24"/>
          <w:szCs w:val="24"/>
        </w:rPr>
        <w:t>caput</w:t>
      </w:r>
      <w:r w:rsidRPr="00972CAC">
        <w:rPr>
          <w:rFonts w:ascii="Bookman Old Style" w:hAnsi="Bookman Old Style" w:cs="Arial"/>
          <w:color w:val="000000"/>
          <w:sz w:val="24"/>
          <w:szCs w:val="24"/>
        </w:rPr>
        <w:t>.</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Julgamento da proposta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38" w:name="art39"/>
      <w:bookmarkEnd w:id="38"/>
      <w:r w:rsidRPr="00972CAC">
        <w:rPr>
          <w:rFonts w:ascii="Bookman Old Style" w:hAnsi="Bookman Old Style" w:cs="Arial"/>
          <w:color w:val="000000"/>
          <w:sz w:val="24"/>
          <w:szCs w:val="24"/>
        </w:rPr>
        <w:t>Art.  39.  Encerrada a etapa de negociação de que trata o art. 38, o pregoeiro examinará a proposta classificada em primeiro lugar quanto à adequação ao objeto e à compatibilidade do preço em relação ao máximo estipulado para contratação no edital, observado o disposto no parágrafo único do art. 7º e no § 9º do art. 26, e verificará a habilitação do licitante conforme disposições do edital, observado o disposto no Capítulo X. </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CAPÍTULO X</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DA HABILITAÇÃO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Documentação obrigatória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39" w:name="art40"/>
      <w:bookmarkEnd w:id="39"/>
      <w:r w:rsidRPr="00972CAC">
        <w:rPr>
          <w:rFonts w:ascii="Bookman Old Style" w:hAnsi="Bookman Old Style" w:cs="Arial"/>
          <w:color w:val="000000"/>
          <w:sz w:val="24"/>
          <w:szCs w:val="24"/>
        </w:rPr>
        <w:t>Art. 40.  Para habilitação dos licitantes, será exigida, exclusivamente, a documentação relativa: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 - à habilitação jurídica;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 - à qualificação técnica;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III - à qualificação econômico-financeira;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IV - à regularidade fiscal e trabalhista;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 - à regularidade fiscal perante as Fazendas Públicas estaduais, distrital e municipais, quando necessário; 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VI - ao cumprimento do disposto no </w:t>
      </w:r>
      <w:hyperlink r:id="rId14" w:anchor="art7xxxiii" w:history="1">
        <w:r w:rsidRPr="00972CAC">
          <w:rPr>
            <w:rStyle w:val="Hyperlink"/>
            <w:rFonts w:ascii="Bookman Old Style" w:hAnsi="Bookman Old Style" w:cs="Arial"/>
            <w:sz w:val="24"/>
            <w:szCs w:val="24"/>
          </w:rPr>
          <w:t>inciso XXXIII do </w:t>
        </w:r>
        <w:r w:rsidRPr="00972CAC">
          <w:rPr>
            <w:rStyle w:val="Hyperlink"/>
            <w:rFonts w:ascii="Bookman Old Style" w:hAnsi="Bookman Old Style" w:cs="Arial"/>
            <w:b/>
            <w:bCs/>
            <w:sz w:val="24"/>
            <w:szCs w:val="24"/>
          </w:rPr>
          <w:t>caput</w:t>
        </w:r>
        <w:r w:rsidRPr="00972CAC">
          <w:rPr>
            <w:rStyle w:val="Hyperlink"/>
            <w:rFonts w:ascii="Bookman Old Style" w:hAnsi="Bookman Old Style" w:cs="Arial"/>
            <w:sz w:val="24"/>
            <w:szCs w:val="24"/>
          </w:rPr>
          <w:t> do art. 7º da Constituição</w:t>
        </w:r>
      </w:hyperlink>
      <w:r w:rsidRPr="00972CAC">
        <w:rPr>
          <w:rFonts w:ascii="Bookman Old Style" w:hAnsi="Bookman Old Style" w:cs="Arial"/>
          <w:color w:val="000000"/>
          <w:sz w:val="24"/>
          <w:szCs w:val="24"/>
        </w:rPr>
        <w:t> e no </w:t>
      </w:r>
      <w:hyperlink r:id="rId15" w:anchor="art78xviii" w:history="1">
        <w:r w:rsidRPr="00972CAC">
          <w:rPr>
            <w:rStyle w:val="Hyperlink"/>
            <w:rFonts w:ascii="Bookman Old Style" w:hAnsi="Bookman Old Style" w:cs="Arial"/>
            <w:sz w:val="24"/>
            <w:szCs w:val="24"/>
          </w:rPr>
          <w:t>inciso XVIII do caput do art. 78 da Lei nº 8.666, de 1993</w:t>
        </w:r>
      </w:hyperlink>
      <w:r w:rsidRPr="00972CAC">
        <w:rPr>
          <w:rFonts w:ascii="Bookman Old Style" w:hAnsi="Bookman Old Style" w:cs="Arial"/>
          <w:color w:val="000000"/>
          <w:sz w:val="24"/>
          <w:szCs w:val="24"/>
        </w:rPr>
        <w:t>.</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lastRenderedPageBreak/>
        <w:t>Parágrafo único.  A documentação exigida para atender ao disposto nos incisos I, III, IV e V do </w:t>
      </w:r>
      <w:r w:rsidRPr="00972CAC">
        <w:rPr>
          <w:rFonts w:ascii="Bookman Old Style" w:hAnsi="Bookman Old Style" w:cs="Arial"/>
          <w:b/>
          <w:bCs/>
          <w:color w:val="000000"/>
          <w:sz w:val="24"/>
          <w:szCs w:val="24"/>
        </w:rPr>
        <w:t>caput</w:t>
      </w:r>
      <w:r w:rsidRPr="00972CAC">
        <w:rPr>
          <w:rFonts w:ascii="Bookman Old Style" w:hAnsi="Bookman Old Style" w:cs="Arial"/>
          <w:color w:val="000000"/>
          <w:sz w:val="24"/>
          <w:szCs w:val="24"/>
        </w:rPr>
        <w:t xml:space="preserve"> poderá ser substituída pelo registro cadastral no </w:t>
      </w:r>
      <w:proofErr w:type="spellStart"/>
      <w:r w:rsidRPr="00972CAC">
        <w:rPr>
          <w:rFonts w:ascii="Bookman Old Style" w:hAnsi="Bookman Old Style" w:cs="Arial"/>
          <w:color w:val="000000"/>
          <w:sz w:val="24"/>
          <w:szCs w:val="24"/>
        </w:rPr>
        <w:t>Sicaf</w:t>
      </w:r>
      <w:proofErr w:type="spellEnd"/>
      <w:r w:rsidRPr="00972CAC">
        <w:rPr>
          <w:rFonts w:ascii="Bookman Old Style" w:hAnsi="Bookman Old Style" w:cs="Arial"/>
          <w:color w:val="000000"/>
          <w:sz w:val="24"/>
          <w:szCs w:val="24"/>
        </w:rPr>
        <w:t xml:space="preserve"> e em sistemas semelhantes mantidos pelos Estados, pelo Distrito Federal ou pelos Municípios, quando a licitação for realizada por esses entes federativos.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40" w:name="art41"/>
      <w:bookmarkEnd w:id="40"/>
      <w:r w:rsidRPr="00972CAC">
        <w:rPr>
          <w:rFonts w:ascii="Bookman Old Style" w:hAnsi="Bookman Old Style" w:cs="Arial"/>
          <w:color w:val="000000"/>
          <w:sz w:val="24"/>
          <w:szCs w:val="24"/>
        </w:rPr>
        <w:t>Art. 41.  Quando permitida a participação de empresas estrangeiras na licitação, as exigências de habilitação serão atendidas mediante documentos equivalentes, inicialmente apresentados com tradução livre.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Parágrafo único.  Na hipótese de o licitante vencedor ser estrangeiro, para fins de assinatura do contrato ou da ata de registro de preços, os documentos de que trata o </w:t>
      </w:r>
      <w:r w:rsidRPr="00972CAC">
        <w:rPr>
          <w:rFonts w:ascii="Bookman Old Style" w:hAnsi="Bookman Old Style" w:cs="Arial"/>
          <w:b/>
          <w:bCs/>
          <w:color w:val="000000"/>
          <w:sz w:val="24"/>
          <w:szCs w:val="24"/>
        </w:rPr>
        <w:t>caput</w:t>
      </w:r>
      <w:r w:rsidRPr="00972CAC">
        <w:rPr>
          <w:rFonts w:ascii="Bookman Old Style" w:hAnsi="Bookman Old Style" w:cs="Arial"/>
          <w:color w:val="000000"/>
          <w:sz w:val="24"/>
          <w:szCs w:val="24"/>
        </w:rPr>
        <w:t> serão traduzidos por tradutor juramentado no País e apostilados nos termos do dispostos no </w:t>
      </w:r>
      <w:hyperlink r:id="rId16" w:history="1">
        <w:r w:rsidRPr="00972CAC">
          <w:rPr>
            <w:rStyle w:val="Hyperlink"/>
            <w:rFonts w:ascii="Bookman Old Style" w:hAnsi="Bookman Old Style" w:cs="Arial"/>
            <w:sz w:val="24"/>
            <w:szCs w:val="24"/>
          </w:rPr>
          <w:t>Decreto nº 8.660, de 29 de janeiro de 2016</w:t>
        </w:r>
      </w:hyperlink>
      <w:r w:rsidRPr="00972CAC">
        <w:rPr>
          <w:rFonts w:ascii="Bookman Old Style" w:hAnsi="Bookman Old Style" w:cs="Arial"/>
          <w:color w:val="000000"/>
          <w:sz w:val="24"/>
          <w:szCs w:val="24"/>
        </w:rPr>
        <w:t xml:space="preserve">, ou de outro que venha a substituí-lo, ou </w:t>
      </w:r>
      <w:proofErr w:type="spellStart"/>
      <w:r w:rsidRPr="00972CAC">
        <w:rPr>
          <w:rFonts w:ascii="Bookman Old Style" w:hAnsi="Bookman Old Style" w:cs="Arial"/>
          <w:color w:val="000000"/>
          <w:sz w:val="24"/>
          <w:szCs w:val="24"/>
        </w:rPr>
        <w:t>consularizados</w:t>
      </w:r>
      <w:proofErr w:type="spellEnd"/>
      <w:r w:rsidRPr="00972CAC">
        <w:rPr>
          <w:rFonts w:ascii="Bookman Old Style" w:hAnsi="Bookman Old Style" w:cs="Arial"/>
          <w:color w:val="000000"/>
          <w:sz w:val="24"/>
          <w:szCs w:val="24"/>
        </w:rPr>
        <w:t xml:space="preserve"> pelos respectivos consulados ou embaixadas.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41" w:name="art42"/>
      <w:bookmarkEnd w:id="41"/>
      <w:r w:rsidRPr="00972CAC">
        <w:rPr>
          <w:rFonts w:ascii="Bookman Old Style" w:hAnsi="Bookman Old Style" w:cs="Arial"/>
          <w:color w:val="000000"/>
          <w:sz w:val="24"/>
          <w:szCs w:val="24"/>
        </w:rPr>
        <w:t>Art. 42.  Quando permitida a participação de consórcio de empresas, serão exigidas: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 - a comprovação da existência de compromisso público ou particular de constituição de consórcio, com indicação da empresa líder, que atenderá às condições de liderança estabelecidas no edital e representará as consorciadas perante a União;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 - a apresentação da documentação de habilitação especificada no edital por empresa consorciada;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III - a comprovação da capacidade técnica do consórcio pelo somatório dos quantitativos de cada empresa consorciada, na forma estabelecida no edital;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IV - a demonstração, por cada empresa consorciada, do atendimento aos índices contábeis definidos no edital, para fins de qualificação econômico-financeira;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 - a responsabilidade solidária das empresas consorciadas pelas obrigações do consórcio, nas etapas da licitação e durante a vigência do contrato;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lastRenderedPageBreak/>
        <w:t>VI - a obrigatoriedade de liderança por empresa brasileira no consórcio formado por empresas brasileiras e estrangeiras, observado o disposto no inciso I; 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VII - a constituição e o registro do consórcio antes da celebração do contrato.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Parágrafo único.  Fica vedada a participação de empresa consorciada, na mesma licitação, por meio de mais de um consórcio ou isoladamente.</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Procedimentos de verificação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42" w:name="art43"/>
      <w:bookmarkEnd w:id="42"/>
      <w:r w:rsidRPr="00972CAC">
        <w:rPr>
          <w:rFonts w:ascii="Bookman Old Style" w:hAnsi="Bookman Old Style" w:cs="Arial"/>
          <w:color w:val="000000"/>
          <w:sz w:val="24"/>
          <w:szCs w:val="24"/>
        </w:rPr>
        <w:t xml:space="preserve">Art. 43.  A habilitação dos licitantes será verificada por meio do </w:t>
      </w:r>
      <w:proofErr w:type="spellStart"/>
      <w:r w:rsidRPr="00972CAC">
        <w:rPr>
          <w:rFonts w:ascii="Bookman Old Style" w:hAnsi="Bookman Old Style" w:cs="Arial"/>
          <w:color w:val="000000"/>
          <w:sz w:val="24"/>
          <w:szCs w:val="24"/>
        </w:rPr>
        <w:t>Sicaf</w:t>
      </w:r>
      <w:proofErr w:type="spellEnd"/>
      <w:r w:rsidRPr="00972CAC">
        <w:rPr>
          <w:rFonts w:ascii="Bookman Old Style" w:hAnsi="Bookman Old Style" w:cs="Arial"/>
          <w:color w:val="000000"/>
          <w:sz w:val="24"/>
          <w:szCs w:val="24"/>
        </w:rPr>
        <w:t xml:space="preserve">, nos documentos por ele abrangidos, quando os procedimentos licitatórios forem realizados por órgãos ou entidades integrantes do </w:t>
      </w:r>
      <w:proofErr w:type="spellStart"/>
      <w:r w:rsidRPr="00972CAC">
        <w:rPr>
          <w:rFonts w:ascii="Bookman Old Style" w:hAnsi="Bookman Old Style" w:cs="Arial"/>
          <w:color w:val="000000"/>
          <w:sz w:val="24"/>
          <w:szCs w:val="24"/>
        </w:rPr>
        <w:t>Sisg</w:t>
      </w:r>
      <w:proofErr w:type="spellEnd"/>
      <w:r w:rsidRPr="00972CAC">
        <w:rPr>
          <w:rFonts w:ascii="Bookman Old Style" w:hAnsi="Bookman Old Style" w:cs="Arial"/>
          <w:color w:val="000000"/>
          <w:sz w:val="24"/>
          <w:szCs w:val="24"/>
        </w:rPr>
        <w:t xml:space="preserve"> ou por aqueles que aderirem ao </w:t>
      </w:r>
      <w:proofErr w:type="spellStart"/>
      <w:r w:rsidRPr="00972CAC">
        <w:rPr>
          <w:rFonts w:ascii="Bookman Old Style" w:hAnsi="Bookman Old Style" w:cs="Arial"/>
          <w:color w:val="000000"/>
          <w:sz w:val="24"/>
          <w:szCs w:val="24"/>
        </w:rPr>
        <w:t>Sicaf</w:t>
      </w:r>
      <w:proofErr w:type="spellEnd"/>
      <w:r w:rsidRPr="00972CAC">
        <w:rPr>
          <w:rFonts w:ascii="Bookman Old Style" w:hAnsi="Bookman Old Style" w:cs="Arial"/>
          <w:color w:val="000000"/>
          <w:sz w:val="24"/>
          <w:szCs w:val="24"/>
        </w:rPr>
        <w:t>.</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xml:space="preserve">§ 1º  Os documentos exigidos para habilitação que não estejam contemplados no </w:t>
      </w:r>
      <w:proofErr w:type="spellStart"/>
      <w:r w:rsidRPr="00972CAC">
        <w:rPr>
          <w:rFonts w:ascii="Bookman Old Style" w:hAnsi="Bookman Old Style" w:cs="Arial"/>
          <w:color w:val="000000"/>
          <w:sz w:val="24"/>
          <w:szCs w:val="24"/>
        </w:rPr>
        <w:t>Sicaf</w:t>
      </w:r>
      <w:proofErr w:type="spellEnd"/>
      <w:r w:rsidRPr="00972CAC">
        <w:rPr>
          <w:rFonts w:ascii="Bookman Old Style" w:hAnsi="Bookman Old Style" w:cs="Arial"/>
          <w:color w:val="000000"/>
          <w:sz w:val="24"/>
          <w:szCs w:val="24"/>
        </w:rPr>
        <w:t xml:space="preserve"> serão enviados nos termos do disposto no art. 26.</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2º  Na hipótese de necessidade de envio de documentos complementares após o julgamento da proposta, os documentos deverão ser apresentados em formato digital, via sistema, no prazo definido no edital, após solicitação do pregoeiro no sistema eletrônico, observado o prazo disposto no § 2º do art. 38.</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3º  A verificação pelo órgão ou entidade promotora do certame nos sítios eletrônicos oficiais de órgãos e entidades emissores de certidões constitui meio legal de prova, para fins de habilitação.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4º  Na hipótese de a proposta vencedora não for aceitável ou o licitante não atender às exigências para habilitação, o pregoeiro examinará a proposta subsequente e assim sucessivamente, na ordem de classificação, até a apuração de uma proposta que atenda ao edital.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5º  Na hipótese de contratação de serviços comuns em que a legislação ou o edital exija apresentação de planilha de composição de preços, esta deverá ser encaminhada exclusivamente via sistema, no prazo fixado no edital, com os respectivos valores readequados ao lance vencedor.</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xml:space="preserve">§ 6º  No pregão, na forma eletrônica, realizado para o sistema de registro de preços, quando a proposta do licitante vencedor não atender ao </w:t>
      </w:r>
      <w:r w:rsidRPr="00972CAC">
        <w:rPr>
          <w:rFonts w:ascii="Bookman Old Style" w:hAnsi="Bookman Old Style" w:cs="Arial"/>
          <w:color w:val="000000"/>
          <w:sz w:val="24"/>
          <w:szCs w:val="24"/>
        </w:rPr>
        <w:lastRenderedPageBreak/>
        <w:t>quantitativo total estimado para a contratação, poderá ser convocada a quantidade de licitantes necessária para alcançar o total estimado, respeitada a ordem de classificação, observado o preço da proposta vencedora, precedida de posterior habilitação, nos termos do disposto no  Capítulo X.</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7º  A comprovação de regularidade fiscal e trabalhista das microempresas e das empresas de pequeno porte será exigida nos termos do disposto no </w:t>
      </w:r>
      <w:hyperlink r:id="rId17" w:anchor="art4" w:history="1">
        <w:r w:rsidRPr="00972CAC">
          <w:rPr>
            <w:rStyle w:val="Hyperlink"/>
            <w:rFonts w:ascii="Bookman Old Style" w:hAnsi="Bookman Old Style" w:cs="Arial"/>
            <w:sz w:val="24"/>
            <w:szCs w:val="24"/>
          </w:rPr>
          <w:t>art. 4º do Decreto nº 8.538, de 6 de outubro de 2015.</w:t>
        </w:r>
      </w:hyperlink>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8º  Constatado o atendimento às exigências estabelecidas no edital, o licitante será declarado vencedor. </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CAPÍTULO XI</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DO RECURSO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Intenção de recorrer e prazo para recurso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43" w:name="art44"/>
      <w:bookmarkEnd w:id="43"/>
      <w:r w:rsidRPr="00972CAC">
        <w:rPr>
          <w:rFonts w:ascii="Bookman Old Style" w:hAnsi="Bookman Old Style" w:cs="Arial"/>
          <w:color w:val="000000"/>
          <w:sz w:val="24"/>
          <w:szCs w:val="24"/>
        </w:rPr>
        <w:t>Art. 44.  Declarado o vencedor, qualquer licitante poderá, durante o prazo concedido na sessão pública, de forma imediata, em campo próprio do sistema, manifestar sua intenção de recorrer.</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1º  As razões do recurso de que trata o</w:t>
      </w:r>
      <w:r w:rsidRPr="00972CAC">
        <w:rPr>
          <w:rFonts w:ascii="Bookman Old Style" w:hAnsi="Bookman Old Style" w:cs="Arial"/>
          <w:b/>
          <w:bCs/>
          <w:color w:val="000000"/>
          <w:sz w:val="24"/>
          <w:szCs w:val="24"/>
        </w:rPr>
        <w:t> caput</w:t>
      </w:r>
      <w:r w:rsidRPr="00972CAC">
        <w:rPr>
          <w:rFonts w:ascii="Bookman Old Style" w:hAnsi="Bookman Old Style" w:cs="Arial"/>
          <w:color w:val="000000"/>
          <w:sz w:val="24"/>
          <w:szCs w:val="24"/>
        </w:rPr>
        <w:t> deverão ser apresentadas no prazo de três dias.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2º  Os demais licitantes ficarão intimados para, se desejarem, apresentar suas contrarrazões, no prazo de três dias, contado da data final do prazo do recorrente, assegurada vista imediata dos elementos indispensáveis à defesa dos seus interesses.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3º  A ausência de manifestação imediata e motivada do licitante quanto à intenção de recorrer, nos termos do disposto no </w:t>
      </w:r>
      <w:r w:rsidRPr="00972CAC">
        <w:rPr>
          <w:rFonts w:ascii="Bookman Old Style" w:hAnsi="Bookman Old Style" w:cs="Arial"/>
          <w:b/>
          <w:bCs/>
          <w:color w:val="000000"/>
          <w:sz w:val="24"/>
          <w:szCs w:val="24"/>
        </w:rPr>
        <w:t>caput</w:t>
      </w:r>
      <w:r w:rsidRPr="00972CAC">
        <w:rPr>
          <w:rFonts w:ascii="Bookman Old Style" w:hAnsi="Bookman Old Style" w:cs="Arial"/>
          <w:color w:val="000000"/>
          <w:sz w:val="24"/>
          <w:szCs w:val="24"/>
        </w:rPr>
        <w:t>, importará na decadência desse direito, e o pregoeiro estará autorizado a adjudicar o objeto ao licitante declarado vencedor.</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4º  O acolhimento do recurso importará na invalidação apenas dos atos que não podem ser aproveitados. </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CAPÍTULO XII</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DA ADJUDICAÇÃO E DA HOMOLOGAÇÃO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lastRenderedPageBreak/>
        <w:t>Autoridade competente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44" w:name="art45"/>
      <w:bookmarkEnd w:id="44"/>
      <w:r w:rsidRPr="00972CAC">
        <w:rPr>
          <w:rFonts w:ascii="Bookman Old Style" w:hAnsi="Bookman Old Style" w:cs="Arial"/>
          <w:color w:val="000000"/>
          <w:sz w:val="24"/>
          <w:szCs w:val="24"/>
        </w:rPr>
        <w:t>Art. 45.  Decididos os recursos e constatada a regularidade dos atos praticados, a autoridade competente adjudicará o objeto e homologará o procedimento licitatório, nos termos do disposto no inciso V do </w:t>
      </w:r>
      <w:r w:rsidRPr="00972CAC">
        <w:rPr>
          <w:rFonts w:ascii="Bookman Old Style" w:hAnsi="Bookman Old Style" w:cs="Arial"/>
          <w:b/>
          <w:bCs/>
          <w:color w:val="000000"/>
          <w:sz w:val="24"/>
          <w:szCs w:val="24"/>
        </w:rPr>
        <w:t>caput</w:t>
      </w:r>
      <w:r w:rsidRPr="00972CAC">
        <w:rPr>
          <w:rFonts w:ascii="Bookman Old Style" w:hAnsi="Bookman Old Style" w:cs="Arial"/>
          <w:color w:val="000000"/>
          <w:sz w:val="24"/>
          <w:szCs w:val="24"/>
        </w:rPr>
        <w:t> do art. 13.</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Pregoeiro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45" w:name="art46"/>
      <w:bookmarkEnd w:id="45"/>
      <w:r w:rsidRPr="00972CAC">
        <w:rPr>
          <w:rFonts w:ascii="Bookman Old Style" w:hAnsi="Bookman Old Style" w:cs="Arial"/>
          <w:color w:val="000000"/>
          <w:sz w:val="24"/>
          <w:szCs w:val="24"/>
        </w:rPr>
        <w:t>Art. 46.  Na ausência de recurso, caberá ao pregoeiro adjudicar o objeto e encaminhar o processo devidamente instruído à autoridade superior e propor a homologação, nos termos do disposto no inciso IX do </w:t>
      </w:r>
      <w:r w:rsidRPr="00972CAC">
        <w:rPr>
          <w:rFonts w:ascii="Bookman Old Style" w:hAnsi="Bookman Old Style" w:cs="Arial"/>
          <w:b/>
          <w:bCs/>
          <w:color w:val="000000"/>
          <w:sz w:val="24"/>
          <w:szCs w:val="24"/>
        </w:rPr>
        <w:t>caput</w:t>
      </w:r>
      <w:r w:rsidRPr="00972CAC">
        <w:rPr>
          <w:rFonts w:ascii="Bookman Old Style" w:hAnsi="Bookman Old Style" w:cs="Arial"/>
          <w:color w:val="000000"/>
          <w:sz w:val="24"/>
          <w:szCs w:val="24"/>
        </w:rPr>
        <w:t> do art. 17. </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CAPÍTULO XIII</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DO SANEAMENTO DA PROPOSTA E DA HABILITAÇÃO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Erros ou falhas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46" w:name="art47"/>
      <w:bookmarkEnd w:id="46"/>
      <w:r w:rsidRPr="00972CAC">
        <w:rPr>
          <w:rFonts w:ascii="Bookman Old Style" w:hAnsi="Bookman Old Style" w:cs="Arial"/>
          <w:color w:val="000000"/>
          <w:sz w:val="24"/>
          <w:szCs w:val="24"/>
        </w:rPr>
        <w:t>Art. 47.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w:t>
      </w:r>
      <w:hyperlink r:id="rId18" w:history="1">
        <w:r w:rsidRPr="00972CAC">
          <w:rPr>
            <w:rStyle w:val="Hyperlink"/>
            <w:rFonts w:ascii="Bookman Old Style" w:hAnsi="Bookman Old Style" w:cs="Arial"/>
            <w:sz w:val="24"/>
            <w:szCs w:val="24"/>
          </w:rPr>
          <w:t>Lei nº 9.784, de 29 de janeiro de 1999</w:t>
        </w:r>
      </w:hyperlink>
      <w:r w:rsidRPr="00972CAC">
        <w:rPr>
          <w:rFonts w:ascii="Bookman Old Style" w:hAnsi="Bookman Old Style" w:cs="Arial"/>
          <w:color w:val="000000"/>
          <w:sz w:val="24"/>
          <w:szCs w:val="24"/>
        </w:rPr>
        <w:t>.</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Parágrafo único.  Na hipótese de necessidade de suspensão da sessão pública para a realização de diligências, com vistas ao saneamento de que trata o </w:t>
      </w:r>
      <w:r w:rsidRPr="00972CAC">
        <w:rPr>
          <w:rFonts w:ascii="Bookman Old Style" w:hAnsi="Bookman Old Style" w:cs="Arial"/>
          <w:b/>
          <w:bCs/>
          <w:color w:val="000000"/>
          <w:sz w:val="24"/>
          <w:szCs w:val="24"/>
        </w:rPr>
        <w:t>caput</w:t>
      </w:r>
      <w:r w:rsidRPr="00972CAC">
        <w:rPr>
          <w:rFonts w:ascii="Bookman Old Style" w:hAnsi="Bookman Old Style" w:cs="Arial"/>
          <w:color w:val="000000"/>
          <w:sz w:val="24"/>
          <w:szCs w:val="24"/>
        </w:rPr>
        <w:t>, a sessão pública somente poderá ser reiniciada mediante aviso prévio no sistema com, no mínimo, vinte e quatro horas de antecedência, e a ocorrência será registrada em ata. </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CAPÍTULO XIV</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DA CONTRATAÇÃO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Assinatura do contrato ou da ata de registro de preços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47" w:name="art48"/>
      <w:bookmarkEnd w:id="47"/>
      <w:r w:rsidRPr="00972CAC">
        <w:rPr>
          <w:rFonts w:ascii="Bookman Old Style" w:hAnsi="Bookman Old Style" w:cs="Arial"/>
          <w:color w:val="000000"/>
          <w:sz w:val="24"/>
          <w:szCs w:val="24"/>
        </w:rPr>
        <w:t>Art. 48.  Após a homologação, o adjudicatário será convocado para assinar o contrato ou a ata de registro de preços no prazo estabelecido no edital.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lastRenderedPageBreak/>
        <w:t>§ 1º  Na assinatura do contrato ou da ata de registro de preços, será exigida a comprovação das condições de habilitação consignadas no edital, que deverão ser mantidas pelo licitante durante a vigência do contrato ou da ata de registro de preços.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2º  Na hipótese de o vencedor da licitação não comprovar as condições de habilitação consignadas no edital ou se recusar a assinar o contrato ou a ata de registro de preços, outro licitante poderá ser convocado, respeitada a ordem de classificação, para, após a comprovação dos requisitos para habilitação, analisada a proposta e eventuais documentos complementares e, feita a negociação, assinar o contrato ou a ata de registro de preços, sem prejuízo da aplicação das sanções de que trata o art. 49.</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3º  O prazo de validade das propostas será de sessenta dias, permitida a fixação de prazo diverso no edital. </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CAPÍTULO XV</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DA SANÇÃO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Impedimento de licitar e contratar</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48" w:name="art49"/>
      <w:bookmarkEnd w:id="48"/>
      <w:r w:rsidRPr="00972CAC">
        <w:rPr>
          <w:rFonts w:ascii="Bookman Old Style" w:hAnsi="Bookman Old Style" w:cs="Arial"/>
          <w:color w:val="000000"/>
          <w:sz w:val="24"/>
          <w:szCs w:val="24"/>
        </w:rPr>
        <w:t>Art. 49.  Ficará impedido de licitar e de contratar com o município, pelo prazo de até cinco anos, sem prejuízo das multas previstas em edital e no contrato e das demais cominações legais, garantido o direito à ampla defesa, o licitante que, convocado dentro do prazo de validade de sua proposta: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 - não assinar o contrato ou a ata de registro de preços;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 - não entregar a documentação exigida no edital;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III - apresentar documentação falsa;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IV - causar o atraso na execução do objeto;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 - não mantiver a proposta;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VI - falhar na execução do contrato;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VII - fraudar a execução do contrato;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lastRenderedPageBreak/>
        <w:t>VIII - comportar-se de modo inidôneo;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IX - declarar informações falsas; 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X - cometer fraude fiscal.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1º  As sanções descritas no </w:t>
      </w:r>
      <w:r w:rsidRPr="00972CAC">
        <w:rPr>
          <w:rFonts w:ascii="Bookman Old Style" w:hAnsi="Bookman Old Style" w:cs="Arial"/>
          <w:b/>
          <w:bCs/>
          <w:color w:val="000000"/>
          <w:sz w:val="24"/>
          <w:szCs w:val="24"/>
        </w:rPr>
        <w:t>caput</w:t>
      </w:r>
      <w:r w:rsidRPr="00972CAC">
        <w:rPr>
          <w:rFonts w:ascii="Bookman Old Style" w:hAnsi="Bookman Old Style" w:cs="Arial"/>
          <w:color w:val="000000"/>
          <w:sz w:val="24"/>
          <w:szCs w:val="24"/>
        </w:rPr>
        <w:t> também se aplicam aos integrantes do cadastro de reserva, em pregão para registro de preços que, convocados, não honrarem o compromisso assumido sem justificativa ou com justificativa recusada pela administração pública.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xml:space="preserve">§ 2º  As sanções serão registradas e publicadas no </w:t>
      </w:r>
      <w:proofErr w:type="spellStart"/>
      <w:r w:rsidRPr="00972CAC">
        <w:rPr>
          <w:rFonts w:ascii="Bookman Old Style" w:hAnsi="Bookman Old Style" w:cs="Arial"/>
          <w:color w:val="000000"/>
          <w:sz w:val="24"/>
          <w:szCs w:val="24"/>
        </w:rPr>
        <w:t>Sicaf</w:t>
      </w:r>
      <w:proofErr w:type="spellEnd"/>
      <w:r w:rsidRPr="00972CAC">
        <w:rPr>
          <w:rFonts w:ascii="Bookman Old Style" w:hAnsi="Bookman Old Style" w:cs="Arial"/>
          <w:color w:val="000000"/>
          <w:sz w:val="24"/>
          <w:szCs w:val="24"/>
        </w:rPr>
        <w:t xml:space="preserve"> ou em outro site se assim for necessário. </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CAPÍTULO XVI</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DA REVOGAÇÃO E DA ANULAÇÃO</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Revogação e anulação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49" w:name="art50"/>
      <w:bookmarkEnd w:id="49"/>
      <w:r w:rsidRPr="00972CAC">
        <w:rPr>
          <w:rFonts w:ascii="Bookman Old Style" w:hAnsi="Bookman Old Style" w:cs="Arial"/>
          <w:color w:val="000000"/>
          <w:sz w:val="24"/>
          <w:szCs w:val="24"/>
        </w:rPr>
        <w:t>Art. 50.  A autoridade competente para homologar o procedimento licitatório de que trata este Decreto poderá revogá-lo somente em razão do interesse público, por motivo de fato superveniente devidamente comprovado, pertinente e suficiente para justificar a revogação, e deverá anulá-lo por ilegalidade, de ofício ou por provocação de qualquer pessoa, por meio de ato escrito e fundamentado.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Parágrafo único.  Os licitantes não terão direito à indenização em decorrência da anulação do procedimento licitatório, ressalvado o direito do contratado de boa-fé ao ressarcimento dos encargos que tiver suportado no cumprimento do contrato. </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CAPÍTULO XVII</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DO SISTEMA DE DISPENSA ELETRÔNICA</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Aplicação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50" w:name="art51"/>
      <w:bookmarkEnd w:id="50"/>
      <w:r w:rsidRPr="00972CAC">
        <w:rPr>
          <w:rFonts w:ascii="Bookman Old Style" w:hAnsi="Bookman Old Style" w:cs="Arial"/>
          <w:color w:val="000000"/>
          <w:sz w:val="24"/>
          <w:szCs w:val="24"/>
        </w:rPr>
        <w:t xml:space="preserve">Art. 51.  As unidades gestoras integrantes do </w:t>
      </w:r>
      <w:proofErr w:type="spellStart"/>
      <w:r w:rsidRPr="00972CAC">
        <w:rPr>
          <w:rFonts w:ascii="Bookman Old Style" w:hAnsi="Bookman Old Style" w:cs="Arial"/>
          <w:color w:val="000000"/>
          <w:sz w:val="24"/>
          <w:szCs w:val="24"/>
        </w:rPr>
        <w:t>Sisg</w:t>
      </w:r>
      <w:proofErr w:type="spellEnd"/>
      <w:r w:rsidRPr="00972CAC">
        <w:rPr>
          <w:rFonts w:ascii="Bookman Old Style" w:hAnsi="Bookman Old Style" w:cs="Arial"/>
          <w:color w:val="000000"/>
          <w:sz w:val="24"/>
          <w:szCs w:val="24"/>
        </w:rPr>
        <w:t xml:space="preserve"> adotarão o sistema de dispensa eletrônica, nas seguintes hipóteses: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lastRenderedPageBreak/>
        <w:t>I - contratação de serviços comuns de engenharia, nos termos do disposto no </w:t>
      </w:r>
      <w:hyperlink r:id="rId19" w:anchor="art24i." w:history="1">
        <w:r w:rsidRPr="00972CAC">
          <w:rPr>
            <w:rStyle w:val="Hyperlink"/>
            <w:rFonts w:ascii="Bookman Old Style" w:hAnsi="Bookman Old Style" w:cs="Arial"/>
            <w:sz w:val="24"/>
            <w:szCs w:val="24"/>
          </w:rPr>
          <w:t>inciso I do caput do art. 24 da Lei nº 8.666, de 1993</w:t>
        </w:r>
      </w:hyperlink>
      <w:r w:rsidRPr="00972CAC">
        <w:rPr>
          <w:rFonts w:ascii="Bookman Old Style" w:hAnsi="Bookman Old Style" w:cs="Arial"/>
          <w:color w:val="000000"/>
          <w:sz w:val="24"/>
          <w:szCs w:val="24"/>
        </w:rPr>
        <w:t>;</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 - aquisição de bens e contratação de serviços comuns, nos termos do disposto no </w:t>
      </w:r>
      <w:hyperlink r:id="rId20" w:anchor="art24ii" w:history="1">
        <w:r w:rsidRPr="00972CAC">
          <w:rPr>
            <w:rStyle w:val="Hyperlink"/>
            <w:rFonts w:ascii="Bookman Old Style" w:hAnsi="Bookman Old Style" w:cs="Arial"/>
            <w:sz w:val="24"/>
            <w:szCs w:val="24"/>
          </w:rPr>
          <w:t>inciso II do caput do art. 24 da Lei nº 8.666, de 1993</w:t>
        </w:r>
      </w:hyperlink>
      <w:r w:rsidRPr="00972CAC">
        <w:rPr>
          <w:rFonts w:ascii="Bookman Old Style" w:hAnsi="Bookman Old Style" w:cs="Arial"/>
          <w:color w:val="000000"/>
          <w:sz w:val="24"/>
          <w:szCs w:val="24"/>
        </w:rPr>
        <w:t>; 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III - aquisição de bens e contratação de serviços comuns, incluídos os serviços comuns de engenharia, nos termos do disposto no </w:t>
      </w:r>
      <w:hyperlink r:id="rId21" w:anchor="art24iii" w:history="1">
        <w:r w:rsidRPr="00972CAC">
          <w:rPr>
            <w:rStyle w:val="Hyperlink"/>
            <w:rFonts w:ascii="Bookman Old Style" w:hAnsi="Bookman Old Style" w:cs="Arial"/>
            <w:sz w:val="24"/>
            <w:szCs w:val="24"/>
          </w:rPr>
          <w:t>inciso III e seguintes do caput do art. 24 da Lei nº 8.666, de 1993</w:t>
        </w:r>
      </w:hyperlink>
      <w:r w:rsidRPr="00972CAC">
        <w:rPr>
          <w:rFonts w:ascii="Bookman Old Style" w:hAnsi="Bookman Old Style" w:cs="Arial"/>
          <w:color w:val="000000"/>
          <w:sz w:val="24"/>
          <w:szCs w:val="24"/>
        </w:rPr>
        <w:t>, quando cabível.</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1º  Ato do Secretário de Gestão da Secretaria Especial de Desburocratização, Gestão e Governo Digital do Ministério da Economia regulamentará o funcionamento do sistema de dispensa eletrônica.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2º  A obrigatoriedade da utilização do sistema de dispensa eletrônica ocorrerá a partir da data de publicação do ato de que trata o § 1º.</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 3º  Fica vedada a utilização do sistema de dispensa eletrônica nas hipóteses de que trata o art. 4º. </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CAPÍTULO XVIII</w:t>
      </w:r>
    </w:p>
    <w:p w:rsidR="00972CAC" w:rsidRPr="00972CAC" w:rsidRDefault="00972CAC" w:rsidP="00972CAC">
      <w:pPr>
        <w:spacing w:before="100" w:beforeAutospacing="1" w:after="100" w:afterAutospacing="1" w:line="288" w:lineRule="auto"/>
        <w:jc w:val="center"/>
        <w:rPr>
          <w:rFonts w:ascii="Bookman Old Style" w:hAnsi="Bookman Old Style" w:cs="Arial"/>
          <w:color w:val="000000"/>
          <w:sz w:val="24"/>
          <w:szCs w:val="24"/>
        </w:rPr>
      </w:pPr>
      <w:r w:rsidRPr="00972CAC">
        <w:rPr>
          <w:rFonts w:ascii="Bookman Old Style" w:hAnsi="Bookman Old Style" w:cs="Arial"/>
          <w:color w:val="000000"/>
          <w:sz w:val="24"/>
          <w:szCs w:val="24"/>
        </w:rPr>
        <w:t>DISPOSIÇÕES FINAIS</w:t>
      </w: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Orientações gerais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51" w:name="art52"/>
      <w:bookmarkEnd w:id="51"/>
      <w:r w:rsidRPr="00972CAC">
        <w:rPr>
          <w:rFonts w:ascii="Bookman Old Style" w:hAnsi="Bookman Old Style" w:cs="Arial"/>
          <w:color w:val="000000"/>
          <w:sz w:val="24"/>
          <w:szCs w:val="24"/>
        </w:rPr>
        <w:t>Art. 52.</w:t>
      </w:r>
      <w:bookmarkStart w:id="52" w:name="art53"/>
      <w:bookmarkEnd w:id="52"/>
      <w:r w:rsidRPr="00972CAC">
        <w:rPr>
          <w:rFonts w:ascii="Bookman Old Style" w:hAnsi="Bookman Old Style" w:cs="Arial"/>
          <w:color w:val="000000"/>
          <w:sz w:val="24"/>
          <w:szCs w:val="24"/>
        </w:rPr>
        <w:t xml:space="preserve">  Os horários estabelecidos no edital, no aviso e durante a sessão pública observarão o horário de Brasília, Distrito Federal, inclusive para contagem de tempo e registro no sistema eletrônico e na documentação relativa ao certame.</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53" w:name="art54"/>
      <w:bookmarkEnd w:id="53"/>
      <w:r w:rsidRPr="00972CAC">
        <w:rPr>
          <w:rFonts w:ascii="Bookman Old Style" w:hAnsi="Bookman Old Style" w:cs="Arial"/>
          <w:color w:val="000000"/>
          <w:sz w:val="24"/>
          <w:szCs w:val="24"/>
        </w:rPr>
        <w:t>Art. 53.  Os participantes de licitação na modalidade de pregão, na forma eletrônica, têm direito público subjetivo à fiel observância do procedimento estabelecido neste Decreto e qualquer interessado poderá acompanhar o seu desenvolvimento em tempo real, por meio da internet.</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54" w:name="art55"/>
      <w:bookmarkEnd w:id="54"/>
      <w:r w:rsidRPr="00972CAC">
        <w:rPr>
          <w:rFonts w:ascii="Bookman Old Style" w:hAnsi="Bookman Old Style" w:cs="Arial"/>
          <w:color w:val="000000"/>
          <w:sz w:val="24"/>
          <w:szCs w:val="24"/>
        </w:rPr>
        <w:t xml:space="preserve">Art. 54.  Os entes federativos usuários dos sistemas de que trata o § 2º do art. 5º poderão utilizar o </w:t>
      </w:r>
      <w:proofErr w:type="spellStart"/>
      <w:r w:rsidRPr="00972CAC">
        <w:rPr>
          <w:rFonts w:ascii="Bookman Old Style" w:hAnsi="Bookman Old Style" w:cs="Arial"/>
          <w:color w:val="000000"/>
          <w:sz w:val="24"/>
          <w:szCs w:val="24"/>
        </w:rPr>
        <w:t>Sicaf</w:t>
      </w:r>
      <w:proofErr w:type="spellEnd"/>
      <w:r w:rsidRPr="00972CAC">
        <w:rPr>
          <w:rFonts w:ascii="Bookman Old Style" w:hAnsi="Bookman Old Style" w:cs="Arial"/>
          <w:color w:val="000000"/>
          <w:sz w:val="24"/>
          <w:szCs w:val="24"/>
        </w:rPr>
        <w:t xml:space="preserve"> para fins </w:t>
      </w:r>
      <w:proofErr w:type="spellStart"/>
      <w:r w:rsidRPr="00972CAC">
        <w:rPr>
          <w:rFonts w:ascii="Bookman Old Style" w:hAnsi="Bookman Old Style" w:cs="Arial"/>
          <w:color w:val="000000"/>
          <w:sz w:val="24"/>
          <w:szCs w:val="24"/>
        </w:rPr>
        <w:t>habilitatórios</w:t>
      </w:r>
      <w:proofErr w:type="spellEnd"/>
      <w:r w:rsidRPr="00972CAC">
        <w:rPr>
          <w:rFonts w:ascii="Bookman Old Style" w:hAnsi="Bookman Old Style" w:cs="Arial"/>
          <w:color w:val="000000"/>
          <w:sz w:val="24"/>
          <w:szCs w:val="24"/>
        </w:rPr>
        <w:t>.</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55" w:name="art56"/>
      <w:bookmarkEnd w:id="55"/>
      <w:r w:rsidRPr="00972CAC">
        <w:rPr>
          <w:rFonts w:ascii="Bookman Old Style" w:hAnsi="Bookman Old Style" w:cs="Arial"/>
          <w:color w:val="000000"/>
          <w:sz w:val="24"/>
          <w:szCs w:val="24"/>
        </w:rPr>
        <w:t>Art. 55.  </w:t>
      </w:r>
      <w:bookmarkStart w:id="56" w:name="art57"/>
      <w:bookmarkEnd w:id="56"/>
      <w:r w:rsidRPr="00972CAC">
        <w:rPr>
          <w:rFonts w:ascii="Bookman Old Style" w:hAnsi="Bookman Old Style" w:cs="Arial"/>
          <w:color w:val="000000"/>
          <w:sz w:val="24"/>
          <w:szCs w:val="24"/>
        </w:rPr>
        <w:t> As propostas que contenham a descrição do objeto, o valor e os documentos complementares estarão disponíveis na internet, após a homologação.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57" w:name="art58"/>
      <w:bookmarkEnd w:id="57"/>
      <w:r w:rsidRPr="00972CAC">
        <w:rPr>
          <w:rFonts w:ascii="Bookman Old Style" w:hAnsi="Bookman Old Style" w:cs="Arial"/>
          <w:color w:val="000000"/>
          <w:sz w:val="24"/>
          <w:szCs w:val="24"/>
        </w:rPr>
        <w:lastRenderedPageBreak/>
        <w:t>Art. 56.  Os arquivos e os registros digitais relativos ao processo licitatório permanecerão à disposição dos órgãos de controle interno e externo.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58" w:name="art59"/>
      <w:bookmarkEnd w:id="58"/>
      <w:r w:rsidRPr="00972CAC">
        <w:rPr>
          <w:rFonts w:ascii="Bookman Old Style" w:hAnsi="Bookman Old Style" w:cs="Arial"/>
          <w:color w:val="000000"/>
          <w:sz w:val="24"/>
          <w:szCs w:val="24"/>
        </w:rPr>
        <w:t>Art. 57.  A Secretaria de Administração poderá editar normas complementares ao disposto neste Decreto e disponibilizar informações adicionais, em meio eletrônico.</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Art. 58 – Aplicam-se subsidiariamente as normas Lei Federal nº 8.666/93.</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r w:rsidRPr="00972CAC">
        <w:rPr>
          <w:rFonts w:ascii="Bookman Old Style" w:hAnsi="Bookman Old Style" w:cs="Arial"/>
          <w:color w:val="000000"/>
          <w:sz w:val="24"/>
          <w:szCs w:val="24"/>
        </w:rPr>
        <w:t>Art. 59 – Compete a Secretaria Municipal de Administração estabelecer normas e orientações complementares sobre matéria regulamentada nesta Lei, bem como resolver os casos omissos.</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p>
    <w:p w:rsidR="00972CAC" w:rsidRPr="00972CAC" w:rsidRDefault="00972CAC" w:rsidP="00972CAC">
      <w:pPr>
        <w:spacing w:before="100" w:beforeAutospacing="1" w:after="100" w:afterAutospacing="1" w:line="288" w:lineRule="auto"/>
        <w:jc w:val="both"/>
        <w:rPr>
          <w:rFonts w:ascii="Bookman Old Style" w:hAnsi="Bookman Old Style" w:cs="Arial"/>
          <w:color w:val="000000"/>
          <w:sz w:val="24"/>
          <w:szCs w:val="24"/>
        </w:rPr>
      </w:pPr>
      <w:r w:rsidRPr="00972CAC">
        <w:rPr>
          <w:rFonts w:ascii="Bookman Old Style" w:hAnsi="Bookman Old Style" w:cs="Arial"/>
          <w:b/>
          <w:bCs/>
          <w:color w:val="000000"/>
          <w:sz w:val="24"/>
          <w:szCs w:val="24"/>
        </w:rPr>
        <w:t>Vigência</w:t>
      </w:r>
    </w:p>
    <w:p w:rsidR="00972CAC" w:rsidRPr="00972CAC" w:rsidRDefault="00972CAC" w:rsidP="00972CAC">
      <w:pPr>
        <w:spacing w:before="100" w:beforeAutospacing="1" w:after="100" w:afterAutospacing="1" w:line="288" w:lineRule="auto"/>
        <w:ind w:firstLine="567"/>
        <w:jc w:val="both"/>
        <w:rPr>
          <w:rFonts w:ascii="Bookman Old Style" w:hAnsi="Bookman Old Style" w:cs="Arial"/>
          <w:color w:val="000000"/>
          <w:sz w:val="24"/>
          <w:szCs w:val="24"/>
        </w:rPr>
      </w:pPr>
      <w:bookmarkStart w:id="59" w:name="art61"/>
      <w:bookmarkEnd w:id="59"/>
      <w:r w:rsidRPr="00972CAC">
        <w:rPr>
          <w:rFonts w:ascii="Bookman Old Style" w:hAnsi="Bookman Old Style" w:cs="Arial"/>
          <w:color w:val="000000"/>
          <w:sz w:val="24"/>
          <w:szCs w:val="24"/>
        </w:rPr>
        <w:t>Art. 60.  Este Decreto entra em vigor na data da sua publicação, revogadas as disposições em contrário.</w:t>
      </w:r>
    </w:p>
    <w:p w:rsidR="005435AF" w:rsidRDefault="005435AF" w:rsidP="005435AF">
      <w:pPr>
        <w:pStyle w:val="Recuodecorpodetexto2"/>
        <w:spacing w:before="100" w:beforeAutospacing="1" w:after="100" w:afterAutospacing="1" w:line="288" w:lineRule="auto"/>
        <w:ind w:left="0" w:firstLine="567"/>
        <w:jc w:val="both"/>
        <w:rPr>
          <w:rFonts w:ascii="Bookman Old Style" w:hAnsi="Bookman Old Style" w:cstheme="minorHAnsi"/>
          <w:szCs w:val="24"/>
        </w:rPr>
      </w:pPr>
    </w:p>
    <w:p w:rsidR="00741FC9" w:rsidRPr="00972CAC" w:rsidRDefault="00741FC9" w:rsidP="005435AF">
      <w:pPr>
        <w:pStyle w:val="Recuodecorpodetexto2"/>
        <w:spacing w:before="100" w:beforeAutospacing="1" w:after="100" w:afterAutospacing="1" w:line="288" w:lineRule="auto"/>
        <w:ind w:left="0" w:firstLine="567"/>
        <w:jc w:val="both"/>
        <w:rPr>
          <w:rFonts w:ascii="Bookman Old Style" w:hAnsi="Bookman Old Style" w:cstheme="minorHAnsi"/>
          <w:szCs w:val="24"/>
        </w:rPr>
      </w:pPr>
      <w:r w:rsidRPr="00972CAC">
        <w:rPr>
          <w:rFonts w:ascii="Bookman Old Style" w:hAnsi="Bookman Old Style" w:cstheme="minorHAnsi"/>
          <w:szCs w:val="24"/>
        </w:rPr>
        <w:t>Gabinete do Prefeito Municipal de Sa</w:t>
      </w:r>
      <w:r w:rsidR="00B26574" w:rsidRPr="00972CAC">
        <w:rPr>
          <w:rFonts w:ascii="Bookman Old Style" w:hAnsi="Bookman Old Style" w:cstheme="minorHAnsi"/>
          <w:szCs w:val="24"/>
        </w:rPr>
        <w:t>nta Terezinha do Progresso, em 1</w:t>
      </w:r>
      <w:r w:rsidR="00972CAC" w:rsidRPr="00972CAC">
        <w:rPr>
          <w:rFonts w:ascii="Bookman Old Style" w:hAnsi="Bookman Old Style" w:cstheme="minorHAnsi"/>
          <w:szCs w:val="24"/>
        </w:rPr>
        <w:t>7</w:t>
      </w:r>
      <w:r w:rsidRPr="00972CAC">
        <w:rPr>
          <w:rFonts w:ascii="Bookman Old Style" w:hAnsi="Bookman Old Style" w:cstheme="minorHAnsi"/>
          <w:szCs w:val="24"/>
        </w:rPr>
        <w:t xml:space="preserve"> de </w:t>
      </w:r>
      <w:r w:rsidR="00593E8F" w:rsidRPr="00972CAC">
        <w:rPr>
          <w:rFonts w:ascii="Bookman Old Style" w:hAnsi="Bookman Old Style" w:cstheme="minorHAnsi"/>
          <w:szCs w:val="24"/>
        </w:rPr>
        <w:t>ju</w:t>
      </w:r>
      <w:r w:rsidR="00B26574" w:rsidRPr="00972CAC">
        <w:rPr>
          <w:rFonts w:ascii="Bookman Old Style" w:hAnsi="Bookman Old Style" w:cstheme="minorHAnsi"/>
          <w:szCs w:val="24"/>
        </w:rPr>
        <w:t>l</w:t>
      </w:r>
      <w:r w:rsidR="00593E8F" w:rsidRPr="00972CAC">
        <w:rPr>
          <w:rFonts w:ascii="Bookman Old Style" w:hAnsi="Bookman Old Style" w:cstheme="minorHAnsi"/>
          <w:szCs w:val="24"/>
        </w:rPr>
        <w:t>ho</w:t>
      </w:r>
      <w:r w:rsidRPr="00972CAC">
        <w:rPr>
          <w:rFonts w:ascii="Bookman Old Style" w:hAnsi="Bookman Old Style" w:cstheme="minorHAnsi"/>
          <w:szCs w:val="24"/>
        </w:rPr>
        <w:t xml:space="preserve"> de 2020.         </w:t>
      </w:r>
    </w:p>
    <w:p w:rsidR="00741FC9" w:rsidRPr="00972CAC" w:rsidRDefault="00741FC9" w:rsidP="005435AF">
      <w:pPr>
        <w:pStyle w:val="Recuodecorpodetexto"/>
        <w:spacing w:line="288" w:lineRule="auto"/>
        <w:ind w:left="0"/>
        <w:rPr>
          <w:rFonts w:ascii="Bookman Old Style" w:hAnsi="Bookman Old Style" w:cstheme="minorHAnsi"/>
          <w:sz w:val="24"/>
          <w:szCs w:val="24"/>
        </w:rPr>
      </w:pPr>
      <w:r w:rsidRPr="00972CAC">
        <w:rPr>
          <w:rFonts w:ascii="Bookman Old Style" w:hAnsi="Bookman Old Style" w:cstheme="minorHAnsi"/>
          <w:sz w:val="24"/>
          <w:szCs w:val="24"/>
        </w:rPr>
        <w:t xml:space="preserve">                   </w:t>
      </w:r>
      <w:bookmarkStart w:id="60" w:name="_GoBack"/>
      <w:bookmarkEnd w:id="60"/>
    </w:p>
    <w:p w:rsidR="00741FC9" w:rsidRPr="00972CAC" w:rsidRDefault="00741FC9" w:rsidP="005435AF">
      <w:pPr>
        <w:pStyle w:val="Cabealho"/>
        <w:tabs>
          <w:tab w:val="left" w:pos="708"/>
        </w:tabs>
        <w:spacing w:line="288" w:lineRule="auto"/>
        <w:jc w:val="center"/>
        <w:rPr>
          <w:rFonts w:ascii="Bookman Old Style" w:hAnsi="Bookman Old Style" w:cs="Arial"/>
          <w:b/>
          <w:szCs w:val="24"/>
        </w:rPr>
      </w:pPr>
      <w:r w:rsidRPr="00972CAC">
        <w:rPr>
          <w:rFonts w:ascii="Bookman Old Style" w:hAnsi="Bookman Old Style" w:cs="Arial"/>
          <w:b/>
          <w:szCs w:val="24"/>
        </w:rPr>
        <w:t>DERLI FURTADO</w:t>
      </w:r>
    </w:p>
    <w:p w:rsidR="00741FC9" w:rsidRPr="00972CAC" w:rsidRDefault="00741FC9" w:rsidP="005435AF">
      <w:pPr>
        <w:spacing w:line="288" w:lineRule="auto"/>
        <w:jc w:val="center"/>
        <w:rPr>
          <w:rFonts w:ascii="Bookman Old Style" w:hAnsi="Bookman Old Style" w:cs="Arial"/>
          <w:sz w:val="24"/>
          <w:szCs w:val="24"/>
        </w:rPr>
      </w:pPr>
      <w:r w:rsidRPr="00972CAC">
        <w:rPr>
          <w:rFonts w:ascii="Bookman Old Style" w:hAnsi="Bookman Old Style" w:cs="Arial"/>
          <w:sz w:val="24"/>
          <w:szCs w:val="24"/>
        </w:rPr>
        <w:t xml:space="preserve">Prefeito Municipal </w:t>
      </w:r>
    </w:p>
    <w:p w:rsidR="00741FC9" w:rsidRPr="00972CAC" w:rsidRDefault="00741FC9" w:rsidP="005435AF">
      <w:pPr>
        <w:spacing w:line="288" w:lineRule="auto"/>
        <w:ind w:left="-142" w:firstLine="993"/>
        <w:jc w:val="both"/>
        <w:rPr>
          <w:rFonts w:ascii="Bookman Old Style" w:hAnsi="Bookman Old Style"/>
          <w:sz w:val="24"/>
          <w:szCs w:val="24"/>
        </w:rPr>
      </w:pPr>
    </w:p>
    <w:p w:rsidR="0042206C" w:rsidRPr="00972CAC" w:rsidRDefault="00741FC9" w:rsidP="005435AF">
      <w:pPr>
        <w:spacing w:line="288" w:lineRule="auto"/>
        <w:ind w:left="-142" w:firstLine="993"/>
        <w:jc w:val="both"/>
        <w:rPr>
          <w:rFonts w:ascii="Bookman Old Style" w:hAnsi="Bookman Old Style" w:cs="Arial"/>
          <w:b/>
          <w:color w:val="000000"/>
          <w:sz w:val="24"/>
          <w:szCs w:val="24"/>
        </w:rPr>
      </w:pPr>
      <w:r w:rsidRPr="00972CAC">
        <w:rPr>
          <w:rFonts w:ascii="Bookman Old Style" w:hAnsi="Bookman Old Style"/>
          <w:sz w:val="24"/>
          <w:szCs w:val="24"/>
        </w:rPr>
        <w:t>REGISTRADO E PUBLICADO EM DATA SUPRA:</w:t>
      </w:r>
    </w:p>
    <w:sectPr w:rsidR="0042206C" w:rsidRPr="00972CAC" w:rsidSect="005435AF">
      <w:footerReference w:type="even" r:id="rId22"/>
      <w:footerReference w:type="default" r:id="rId23"/>
      <w:pgSz w:w="11907" w:h="16840" w:code="9"/>
      <w:pgMar w:top="1843" w:right="1559" w:bottom="1134" w:left="1418" w:header="720" w:footer="113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E0C" w:rsidRDefault="00887E0C">
      <w:r>
        <w:separator/>
      </w:r>
    </w:p>
  </w:endnote>
  <w:endnote w:type="continuationSeparator" w:id="0">
    <w:p w:rsidR="00887E0C" w:rsidRDefault="0088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08" w:rsidRDefault="00133C29">
    <w:pPr>
      <w:pStyle w:val="Rodap"/>
      <w:framePr w:wrap="around" w:vAnchor="text" w:hAnchor="margin" w:xAlign="right" w:y="1"/>
      <w:rPr>
        <w:rStyle w:val="Nmerodepgina"/>
      </w:rPr>
    </w:pPr>
    <w:r>
      <w:rPr>
        <w:rStyle w:val="Nmerodepgina"/>
      </w:rPr>
      <w:fldChar w:fldCharType="begin"/>
    </w:r>
    <w:r w:rsidR="001A4608">
      <w:rPr>
        <w:rStyle w:val="Nmerodepgina"/>
      </w:rPr>
      <w:instrText xml:space="preserve">PAGE  </w:instrText>
    </w:r>
    <w:r>
      <w:rPr>
        <w:rStyle w:val="Nmerodepgina"/>
      </w:rPr>
      <w:fldChar w:fldCharType="end"/>
    </w:r>
  </w:p>
  <w:p w:rsidR="001A4608" w:rsidRDefault="001A460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08" w:rsidRDefault="00133C29">
    <w:pPr>
      <w:pStyle w:val="Rodap"/>
      <w:framePr w:wrap="around" w:vAnchor="text" w:hAnchor="margin" w:xAlign="right" w:y="1"/>
      <w:rPr>
        <w:rStyle w:val="Nmerodepgina"/>
      </w:rPr>
    </w:pPr>
    <w:r>
      <w:rPr>
        <w:rStyle w:val="Nmerodepgina"/>
      </w:rPr>
      <w:fldChar w:fldCharType="begin"/>
    </w:r>
    <w:r w:rsidR="001A4608">
      <w:rPr>
        <w:rStyle w:val="Nmerodepgina"/>
      </w:rPr>
      <w:instrText xml:space="preserve">PAGE  </w:instrText>
    </w:r>
    <w:r>
      <w:rPr>
        <w:rStyle w:val="Nmerodepgina"/>
      </w:rPr>
      <w:fldChar w:fldCharType="separate"/>
    </w:r>
    <w:r w:rsidR="005435AF">
      <w:rPr>
        <w:rStyle w:val="Nmerodepgina"/>
        <w:noProof/>
      </w:rPr>
      <w:t>28</w:t>
    </w:r>
    <w:r>
      <w:rPr>
        <w:rStyle w:val="Nmerodepgina"/>
      </w:rPr>
      <w:fldChar w:fldCharType="end"/>
    </w:r>
  </w:p>
  <w:p w:rsidR="001A4608" w:rsidRDefault="001A4608">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E0C" w:rsidRDefault="00887E0C">
      <w:r>
        <w:separator/>
      </w:r>
    </w:p>
  </w:footnote>
  <w:footnote w:type="continuationSeparator" w:id="0">
    <w:p w:rsidR="00887E0C" w:rsidRDefault="00887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2FD9"/>
    <w:multiLevelType w:val="hybridMultilevel"/>
    <w:tmpl w:val="6B1804B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2A57CB4"/>
    <w:multiLevelType w:val="hybridMultilevel"/>
    <w:tmpl w:val="358E1332"/>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E0D2045"/>
    <w:multiLevelType w:val="hybridMultilevel"/>
    <w:tmpl w:val="735299F6"/>
    <w:lvl w:ilvl="0" w:tplc="DF7C1A40">
      <w:start w:val="2"/>
      <w:numFmt w:val="decimal"/>
      <w:lvlText w:val="%1."/>
      <w:lvlJc w:val="left"/>
      <w:pPr>
        <w:tabs>
          <w:tab w:val="num" w:pos="720"/>
        </w:tabs>
        <w:ind w:left="720" w:hanging="360"/>
      </w:pPr>
      <w:rPr>
        <w:rFonts w:hint="default"/>
      </w:rPr>
    </w:lvl>
    <w:lvl w:ilvl="1" w:tplc="746CF2B4">
      <w:numFmt w:val="none"/>
      <w:lvlText w:val=""/>
      <w:lvlJc w:val="left"/>
      <w:pPr>
        <w:tabs>
          <w:tab w:val="num" w:pos="360"/>
        </w:tabs>
      </w:pPr>
    </w:lvl>
    <w:lvl w:ilvl="2" w:tplc="90E2B500">
      <w:numFmt w:val="none"/>
      <w:lvlText w:val=""/>
      <w:lvlJc w:val="left"/>
      <w:pPr>
        <w:tabs>
          <w:tab w:val="num" w:pos="360"/>
        </w:tabs>
      </w:pPr>
    </w:lvl>
    <w:lvl w:ilvl="3" w:tplc="3B00F8DC">
      <w:numFmt w:val="none"/>
      <w:lvlText w:val=""/>
      <w:lvlJc w:val="left"/>
      <w:pPr>
        <w:tabs>
          <w:tab w:val="num" w:pos="360"/>
        </w:tabs>
      </w:pPr>
    </w:lvl>
    <w:lvl w:ilvl="4" w:tplc="91120AEC">
      <w:numFmt w:val="none"/>
      <w:lvlText w:val=""/>
      <w:lvlJc w:val="left"/>
      <w:pPr>
        <w:tabs>
          <w:tab w:val="num" w:pos="360"/>
        </w:tabs>
      </w:pPr>
    </w:lvl>
    <w:lvl w:ilvl="5" w:tplc="6AB2C71C">
      <w:numFmt w:val="none"/>
      <w:lvlText w:val=""/>
      <w:lvlJc w:val="left"/>
      <w:pPr>
        <w:tabs>
          <w:tab w:val="num" w:pos="360"/>
        </w:tabs>
      </w:pPr>
    </w:lvl>
    <w:lvl w:ilvl="6" w:tplc="21D66EC6">
      <w:numFmt w:val="none"/>
      <w:lvlText w:val=""/>
      <w:lvlJc w:val="left"/>
      <w:pPr>
        <w:tabs>
          <w:tab w:val="num" w:pos="360"/>
        </w:tabs>
      </w:pPr>
    </w:lvl>
    <w:lvl w:ilvl="7" w:tplc="389AF090">
      <w:numFmt w:val="none"/>
      <w:lvlText w:val=""/>
      <w:lvlJc w:val="left"/>
      <w:pPr>
        <w:tabs>
          <w:tab w:val="num" w:pos="360"/>
        </w:tabs>
      </w:pPr>
    </w:lvl>
    <w:lvl w:ilvl="8" w:tplc="69263C62">
      <w:numFmt w:val="none"/>
      <w:lvlText w:val=""/>
      <w:lvlJc w:val="left"/>
      <w:pPr>
        <w:tabs>
          <w:tab w:val="num" w:pos="360"/>
        </w:tabs>
      </w:pPr>
    </w:lvl>
  </w:abstractNum>
  <w:abstractNum w:abstractNumId="3">
    <w:nsid w:val="274F489A"/>
    <w:multiLevelType w:val="hybridMultilevel"/>
    <w:tmpl w:val="2E0A94B2"/>
    <w:lvl w:ilvl="0" w:tplc="F404D606">
      <w:start w:val="1"/>
      <w:numFmt w:val="lowerLetter"/>
      <w:lvlText w:val="%1)"/>
      <w:lvlJc w:val="left"/>
      <w:pPr>
        <w:tabs>
          <w:tab w:val="num" w:pos="2021"/>
        </w:tabs>
        <w:ind w:left="2021" w:hanging="117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4">
    <w:nsid w:val="27A35552"/>
    <w:multiLevelType w:val="multilevel"/>
    <w:tmpl w:val="D6AC20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D95BE4"/>
    <w:multiLevelType w:val="hybridMultilevel"/>
    <w:tmpl w:val="E4808CB8"/>
    <w:lvl w:ilvl="0" w:tplc="123020A6">
      <w:start w:val="1"/>
      <w:numFmt w:val="decimal"/>
      <w:lvlText w:val="%1."/>
      <w:lvlJc w:val="left"/>
      <w:pPr>
        <w:tabs>
          <w:tab w:val="num" w:pos="720"/>
        </w:tabs>
        <w:ind w:left="720" w:hanging="360"/>
      </w:pPr>
      <w:rPr>
        <w:rFonts w:hint="default"/>
      </w:rPr>
    </w:lvl>
    <w:lvl w:ilvl="1" w:tplc="ECEA5094">
      <w:numFmt w:val="none"/>
      <w:lvlText w:val=""/>
      <w:lvlJc w:val="left"/>
      <w:pPr>
        <w:tabs>
          <w:tab w:val="num" w:pos="360"/>
        </w:tabs>
      </w:pPr>
    </w:lvl>
    <w:lvl w:ilvl="2" w:tplc="C8501DD8">
      <w:numFmt w:val="none"/>
      <w:lvlText w:val=""/>
      <w:lvlJc w:val="left"/>
      <w:pPr>
        <w:tabs>
          <w:tab w:val="num" w:pos="360"/>
        </w:tabs>
      </w:pPr>
    </w:lvl>
    <w:lvl w:ilvl="3" w:tplc="5D34EB76">
      <w:numFmt w:val="none"/>
      <w:lvlText w:val=""/>
      <w:lvlJc w:val="left"/>
      <w:pPr>
        <w:tabs>
          <w:tab w:val="num" w:pos="360"/>
        </w:tabs>
      </w:pPr>
    </w:lvl>
    <w:lvl w:ilvl="4" w:tplc="ADAE913A">
      <w:numFmt w:val="none"/>
      <w:lvlText w:val=""/>
      <w:lvlJc w:val="left"/>
      <w:pPr>
        <w:tabs>
          <w:tab w:val="num" w:pos="360"/>
        </w:tabs>
      </w:pPr>
    </w:lvl>
    <w:lvl w:ilvl="5" w:tplc="EE560C50">
      <w:numFmt w:val="none"/>
      <w:lvlText w:val=""/>
      <w:lvlJc w:val="left"/>
      <w:pPr>
        <w:tabs>
          <w:tab w:val="num" w:pos="360"/>
        </w:tabs>
      </w:pPr>
    </w:lvl>
    <w:lvl w:ilvl="6" w:tplc="C5FCDFB4">
      <w:numFmt w:val="none"/>
      <w:lvlText w:val=""/>
      <w:lvlJc w:val="left"/>
      <w:pPr>
        <w:tabs>
          <w:tab w:val="num" w:pos="360"/>
        </w:tabs>
      </w:pPr>
    </w:lvl>
    <w:lvl w:ilvl="7" w:tplc="B054F5D8">
      <w:numFmt w:val="none"/>
      <w:lvlText w:val=""/>
      <w:lvlJc w:val="left"/>
      <w:pPr>
        <w:tabs>
          <w:tab w:val="num" w:pos="360"/>
        </w:tabs>
      </w:pPr>
    </w:lvl>
    <w:lvl w:ilvl="8" w:tplc="19760BA2">
      <w:numFmt w:val="none"/>
      <w:lvlText w:val=""/>
      <w:lvlJc w:val="left"/>
      <w:pPr>
        <w:tabs>
          <w:tab w:val="num" w:pos="360"/>
        </w:tabs>
      </w:pPr>
    </w:lvl>
  </w:abstractNum>
  <w:abstractNum w:abstractNumId="6">
    <w:nsid w:val="3B8F2C72"/>
    <w:multiLevelType w:val="singleLevel"/>
    <w:tmpl w:val="A33EF90E"/>
    <w:lvl w:ilvl="0">
      <w:numFmt w:val="bullet"/>
      <w:lvlText w:val="-"/>
      <w:lvlJc w:val="left"/>
      <w:pPr>
        <w:tabs>
          <w:tab w:val="num" w:pos="360"/>
        </w:tabs>
        <w:ind w:left="360" w:hanging="360"/>
      </w:pPr>
      <w:rPr>
        <w:rFonts w:ascii="Times New Roman" w:hAnsi="Times New Roman" w:hint="default"/>
      </w:rPr>
    </w:lvl>
  </w:abstractNum>
  <w:abstractNum w:abstractNumId="7">
    <w:nsid w:val="42366387"/>
    <w:multiLevelType w:val="singleLevel"/>
    <w:tmpl w:val="DF66E616"/>
    <w:lvl w:ilvl="0">
      <w:numFmt w:val="bullet"/>
      <w:lvlText w:val="-"/>
      <w:lvlJc w:val="left"/>
      <w:pPr>
        <w:tabs>
          <w:tab w:val="num" w:pos="1211"/>
        </w:tabs>
        <w:ind w:left="1211" w:hanging="360"/>
      </w:pPr>
      <w:rPr>
        <w:rFonts w:ascii="Times New Roman" w:hAnsi="Times New Roman" w:hint="default"/>
      </w:rPr>
    </w:lvl>
  </w:abstractNum>
  <w:abstractNum w:abstractNumId="8">
    <w:nsid w:val="42BF542F"/>
    <w:multiLevelType w:val="hybridMultilevel"/>
    <w:tmpl w:val="106A2F66"/>
    <w:lvl w:ilvl="0" w:tplc="C9289C6A">
      <w:start w:val="1"/>
      <w:numFmt w:val="upperRoman"/>
      <w:lvlText w:val="%1."/>
      <w:lvlJc w:val="left"/>
      <w:pPr>
        <w:tabs>
          <w:tab w:val="num" w:pos="1571"/>
        </w:tabs>
        <w:ind w:left="1571" w:hanging="72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9">
    <w:nsid w:val="430424CA"/>
    <w:multiLevelType w:val="hybridMultilevel"/>
    <w:tmpl w:val="73DE6994"/>
    <w:lvl w:ilvl="0" w:tplc="07A0F966">
      <w:start w:val="1"/>
      <w:numFmt w:val="upperRoman"/>
      <w:lvlText w:val="%1."/>
      <w:lvlJc w:val="left"/>
      <w:pPr>
        <w:tabs>
          <w:tab w:val="num" w:pos="1571"/>
        </w:tabs>
        <w:ind w:left="1571" w:hanging="72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0">
    <w:nsid w:val="4B57069A"/>
    <w:multiLevelType w:val="hybridMultilevel"/>
    <w:tmpl w:val="87A67D0A"/>
    <w:lvl w:ilvl="0" w:tplc="39E2F9F4">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1">
    <w:nsid w:val="52A55012"/>
    <w:multiLevelType w:val="hybridMultilevel"/>
    <w:tmpl w:val="39B8AE88"/>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65F4A6E"/>
    <w:multiLevelType w:val="hybridMultilevel"/>
    <w:tmpl w:val="E402ACB2"/>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6DC0FD1"/>
    <w:multiLevelType w:val="hybridMultilevel"/>
    <w:tmpl w:val="0590C354"/>
    <w:lvl w:ilvl="0" w:tplc="0070157E">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4">
    <w:nsid w:val="61106BEA"/>
    <w:multiLevelType w:val="hybridMultilevel"/>
    <w:tmpl w:val="49D02192"/>
    <w:lvl w:ilvl="0" w:tplc="BFE40222">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5">
    <w:nsid w:val="65FF324E"/>
    <w:multiLevelType w:val="hybridMultilevel"/>
    <w:tmpl w:val="1D709A4A"/>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F8813A3"/>
    <w:multiLevelType w:val="hybridMultilevel"/>
    <w:tmpl w:val="87647898"/>
    <w:lvl w:ilvl="0" w:tplc="0416000F">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00F4797"/>
    <w:multiLevelType w:val="multilevel"/>
    <w:tmpl w:val="558E879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4E07B0E"/>
    <w:multiLevelType w:val="multilevel"/>
    <w:tmpl w:val="2E6C706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7CD11F7C"/>
    <w:multiLevelType w:val="hybridMultilevel"/>
    <w:tmpl w:val="88000986"/>
    <w:lvl w:ilvl="0" w:tplc="D8FE40A6">
      <w:start w:val="1"/>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9"/>
  </w:num>
  <w:num w:numId="2">
    <w:abstractNumId w:val="14"/>
  </w:num>
  <w:num w:numId="3">
    <w:abstractNumId w:val="10"/>
  </w:num>
  <w:num w:numId="4">
    <w:abstractNumId w:val="8"/>
  </w:num>
  <w:num w:numId="5">
    <w:abstractNumId w:val="7"/>
  </w:num>
  <w:num w:numId="6">
    <w:abstractNumId w:val="6"/>
  </w:num>
  <w:num w:numId="7">
    <w:abstractNumId w:val="3"/>
  </w:num>
  <w:num w:numId="8">
    <w:abstractNumId w:val="13"/>
  </w:num>
  <w:num w:numId="9">
    <w:abstractNumId w:val="4"/>
  </w:num>
  <w:num w:numId="10">
    <w:abstractNumId w:val="0"/>
  </w:num>
  <w:num w:numId="11">
    <w:abstractNumId w:val="5"/>
  </w:num>
  <w:num w:numId="12">
    <w:abstractNumId w:val="18"/>
  </w:num>
  <w:num w:numId="13">
    <w:abstractNumId w:val="16"/>
  </w:num>
  <w:num w:numId="14">
    <w:abstractNumId w:val="17"/>
  </w:num>
  <w:num w:numId="15">
    <w:abstractNumId w:val="1"/>
  </w:num>
  <w:num w:numId="16">
    <w:abstractNumId w:val="12"/>
  </w:num>
  <w:num w:numId="17">
    <w:abstractNumId w:val="15"/>
  </w:num>
  <w:num w:numId="18">
    <w:abstractNumId w:val="11"/>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E7"/>
    <w:rsid w:val="000014C0"/>
    <w:rsid w:val="00005694"/>
    <w:rsid w:val="00005ABF"/>
    <w:rsid w:val="00012475"/>
    <w:rsid w:val="000141E4"/>
    <w:rsid w:val="0001567E"/>
    <w:rsid w:val="00015EA6"/>
    <w:rsid w:val="000261D9"/>
    <w:rsid w:val="00032162"/>
    <w:rsid w:val="000331F0"/>
    <w:rsid w:val="00033587"/>
    <w:rsid w:val="000353C9"/>
    <w:rsid w:val="00037A8E"/>
    <w:rsid w:val="0004178D"/>
    <w:rsid w:val="0004510C"/>
    <w:rsid w:val="00045689"/>
    <w:rsid w:val="00050308"/>
    <w:rsid w:val="000516D1"/>
    <w:rsid w:val="000559EB"/>
    <w:rsid w:val="00060742"/>
    <w:rsid w:val="00060ABB"/>
    <w:rsid w:val="0006188D"/>
    <w:rsid w:val="0006296A"/>
    <w:rsid w:val="00065E52"/>
    <w:rsid w:val="00072BB4"/>
    <w:rsid w:val="000749D2"/>
    <w:rsid w:val="00076A22"/>
    <w:rsid w:val="00080EF4"/>
    <w:rsid w:val="000812A0"/>
    <w:rsid w:val="0008416C"/>
    <w:rsid w:val="0009034C"/>
    <w:rsid w:val="00097D93"/>
    <w:rsid w:val="00097E66"/>
    <w:rsid w:val="000A30F9"/>
    <w:rsid w:val="000A49DF"/>
    <w:rsid w:val="000B37D2"/>
    <w:rsid w:val="000B3812"/>
    <w:rsid w:val="000B605C"/>
    <w:rsid w:val="000B7251"/>
    <w:rsid w:val="000C311C"/>
    <w:rsid w:val="000C354A"/>
    <w:rsid w:val="000D6725"/>
    <w:rsid w:val="000D7535"/>
    <w:rsid w:val="000E002B"/>
    <w:rsid w:val="000E0953"/>
    <w:rsid w:val="000E580B"/>
    <w:rsid w:val="000F658E"/>
    <w:rsid w:val="000F7F61"/>
    <w:rsid w:val="001007A1"/>
    <w:rsid w:val="00115E9E"/>
    <w:rsid w:val="00117DE0"/>
    <w:rsid w:val="00121DA2"/>
    <w:rsid w:val="00122704"/>
    <w:rsid w:val="00125182"/>
    <w:rsid w:val="00133C29"/>
    <w:rsid w:val="00135232"/>
    <w:rsid w:val="001356FE"/>
    <w:rsid w:val="0013682E"/>
    <w:rsid w:val="00136BB1"/>
    <w:rsid w:val="0013763B"/>
    <w:rsid w:val="001408A1"/>
    <w:rsid w:val="00142C29"/>
    <w:rsid w:val="001449AA"/>
    <w:rsid w:val="00147529"/>
    <w:rsid w:val="00150153"/>
    <w:rsid w:val="00151C02"/>
    <w:rsid w:val="00160CF7"/>
    <w:rsid w:val="001612A1"/>
    <w:rsid w:val="00164EC1"/>
    <w:rsid w:val="00166800"/>
    <w:rsid w:val="00170963"/>
    <w:rsid w:val="00171007"/>
    <w:rsid w:val="00171396"/>
    <w:rsid w:val="00175498"/>
    <w:rsid w:val="001760D9"/>
    <w:rsid w:val="00182C0D"/>
    <w:rsid w:val="00191F04"/>
    <w:rsid w:val="00197DB0"/>
    <w:rsid w:val="001A38C7"/>
    <w:rsid w:val="001A4608"/>
    <w:rsid w:val="001A7179"/>
    <w:rsid w:val="001A7995"/>
    <w:rsid w:val="001B2865"/>
    <w:rsid w:val="001B55EE"/>
    <w:rsid w:val="001C42C2"/>
    <w:rsid w:val="001C56B1"/>
    <w:rsid w:val="001D137A"/>
    <w:rsid w:val="001D2143"/>
    <w:rsid w:val="001D3277"/>
    <w:rsid w:val="001D6505"/>
    <w:rsid w:val="001E2727"/>
    <w:rsid w:val="001E2993"/>
    <w:rsid w:val="001E2FB4"/>
    <w:rsid w:val="001E32A3"/>
    <w:rsid w:val="001F16EA"/>
    <w:rsid w:val="001F6233"/>
    <w:rsid w:val="001F75C0"/>
    <w:rsid w:val="00202D27"/>
    <w:rsid w:val="00204707"/>
    <w:rsid w:val="002125FE"/>
    <w:rsid w:val="002179AE"/>
    <w:rsid w:val="00220E46"/>
    <w:rsid w:val="002232AC"/>
    <w:rsid w:val="002257E7"/>
    <w:rsid w:val="00227117"/>
    <w:rsid w:val="002321EF"/>
    <w:rsid w:val="00233C7C"/>
    <w:rsid w:val="00234AAF"/>
    <w:rsid w:val="0023791C"/>
    <w:rsid w:val="0024054D"/>
    <w:rsid w:val="002427B0"/>
    <w:rsid w:val="00244AB4"/>
    <w:rsid w:val="00250BD3"/>
    <w:rsid w:val="0025458A"/>
    <w:rsid w:val="00257C28"/>
    <w:rsid w:val="0026156E"/>
    <w:rsid w:val="00262DE4"/>
    <w:rsid w:val="00264466"/>
    <w:rsid w:val="00270945"/>
    <w:rsid w:val="00272DC2"/>
    <w:rsid w:val="00276952"/>
    <w:rsid w:val="00281F33"/>
    <w:rsid w:val="00287455"/>
    <w:rsid w:val="0029443B"/>
    <w:rsid w:val="00294B53"/>
    <w:rsid w:val="0029549F"/>
    <w:rsid w:val="00297364"/>
    <w:rsid w:val="002B54F3"/>
    <w:rsid w:val="002B6081"/>
    <w:rsid w:val="002B75A5"/>
    <w:rsid w:val="002D0474"/>
    <w:rsid w:val="002D060B"/>
    <w:rsid w:val="002E3063"/>
    <w:rsid w:val="002F0991"/>
    <w:rsid w:val="002F2718"/>
    <w:rsid w:val="00300BD6"/>
    <w:rsid w:val="00300E93"/>
    <w:rsid w:val="00306285"/>
    <w:rsid w:val="00314288"/>
    <w:rsid w:val="003207A2"/>
    <w:rsid w:val="00320FE0"/>
    <w:rsid w:val="00323BCE"/>
    <w:rsid w:val="00335949"/>
    <w:rsid w:val="003414F0"/>
    <w:rsid w:val="0034416C"/>
    <w:rsid w:val="00344DB7"/>
    <w:rsid w:val="00347B27"/>
    <w:rsid w:val="003503EA"/>
    <w:rsid w:val="00356F58"/>
    <w:rsid w:val="00362821"/>
    <w:rsid w:val="00363122"/>
    <w:rsid w:val="003656C3"/>
    <w:rsid w:val="003678E0"/>
    <w:rsid w:val="003734A2"/>
    <w:rsid w:val="00375279"/>
    <w:rsid w:val="00375800"/>
    <w:rsid w:val="00382960"/>
    <w:rsid w:val="00386CA9"/>
    <w:rsid w:val="00390360"/>
    <w:rsid w:val="00391293"/>
    <w:rsid w:val="003A2B73"/>
    <w:rsid w:val="003B1EB4"/>
    <w:rsid w:val="003B44DB"/>
    <w:rsid w:val="003B7856"/>
    <w:rsid w:val="003B7C57"/>
    <w:rsid w:val="003C1394"/>
    <w:rsid w:val="003C1CA4"/>
    <w:rsid w:val="003C3BF3"/>
    <w:rsid w:val="003C6384"/>
    <w:rsid w:val="003E0944"/>
    <w:rsid w:val="003E405A"/>
    <w:rsid w:val="003F0701"/>
    <w:rsid w:val="003F4599"/>
    <w:rsid w:val="00400E27"/>
    <w:rsid w:val="00403DE3"/>
    <w:rsid w:val="00410B86"/>
    <w:rsid w:val="004150AA"/>
    <w:rsid w:val="0042206C"/>
    <w:rsid w:val="00423323"/>
    <w:rsid w:val="004254AB"/>
    <w:rsid w:val="0042587A"/>
    <w:rsid w:val="00433658"/>
    <w:rsid w:val="004338AE"/>
    <w:rsid w:val="00433F89"/>
    <w:rsid w:val="0043415E"/>
    <w:rsid w:val="0044114F"/>
    <w:rsid w:val="004420A0"/>
    <w:rsid w:val="004444C0"/>
    <w:rsid w:val="004470AB"/>
    <w:rsid w:val="00447D7B"/>
    <w:rsid w:val="00452B31"/>
    <w:rsid w:val="00455F6D"/>
    <w:rsid w:val="00456EF7"/>
    <w:rsid w:val="004641E4"/>
    <w:rsid w:val="00467F07"/>
    <w:rsid w:val="0047125F"/>
    <w:rsid w:val="0047527F"/>
    <w:rsid w:val="004757E3"/>
    <w:rsid w:val="0047646E"/>
    <w:rsid w:val="00481476"/>
    <w:rsid w:val="00482426"/>
    <w:rsid w:val="0048491D"/>
    <w:rsid w:val="004850BB"/>
    <w:rsid w:val="00495C5C"/>
    <w:rsid w:val="004B1145"/>
    <w:rsid w:val="004C4988"/>
    <w:rsid w:val="004C7F26"/>
    <w:rsid w:val="004D1C77"/>
    <w:rsid w:val="004D3016"/>
    <w:rsid w:val="004D3387"/>
    <w:rsid w:val="004E07A5"/>
    <w:rsid w:val="004E0B3C"/>
    <w:rsid w:val="004E2B87"/>
    <w:rsid w:val="004E3F4E"/>
    <w:rsid w:val="004E5EAA"/>
    <w:rsid w:val="004F3BB4"/>
    <w:rsid w:val="004F4D3C"/>
    <w:rsid w:val="004F5998"/>
    <w:rsid w:val="004F7C88"/>
    <w:rsid w:val="00504EA5"/>
    <w:rsid w:val="00510B59"/>
    <w:rsid w:val="005120E2"/>
    <w:rsid w:val="00515C36"/>
    <w:rsid w:val="00521BD4"/>
    <w:rsid w:val="005226EC"/>
    <w:rsid w:val="00523D89"/>
    <w:rsid w:val="005240E7"/>
    <w:rsid w:val="00526C17"/>
    <w:rsid w:val="00533343"/>
    <w:rsid w:val="00537899"/>
    <w:rsid w:val="00540C6F"/>
    <w:rsid w:val="005435AF"/>
    <w:rsid w:val="005451AC"/>
    <w:rsid w:val="00546477"/>
    <w:rsid w:val="00550601"/>
    <w:rsid w:val="00551655"/>
    <w:rsid w:val="005565ED"/>
    <w:rsid w:val="005642C0"/>
    <w:rsid w:val="00570BBD"/>
    <w:rsid w:val="00572CC5"/>
    <w:rsid w:val="0057340A"/>
    <w:rsid w:val="00576D42"/>
    <w:rsid w:val="0057776A"/>
    <w:rsid w:val="005777D7"/>
    <w:rsid w:val="0058062B"/>
    <w:rsid w:val="00585DF2"/>
    <w:rsid w:val="00587CFE"/>
    <w:rsid w:val="00590741"/>
    <w:rsid w:val="005908C5"/>
    <w:rsid w:val="00593E8F"/>
    <w:rsid w:val="005968F0"/>
    <w:rsid w:val="005A74EE"/>
    <w:rsid w:val="005A768C"/>
    <w:rsid w:val="005B00E8"/>
    <w:rsid w:val="005B3C7A"/>
    <w:rsid w:val="005C3448"/>
    <w:rsid w:val="005C3504"/>
    <w:rsid w:val="005C4BEF"/>
    <w:rsid w:val="005C7C73"/>
    <w:rsid w:val="005D3FE6"/>
    <w:rsid w:val="005D4921"/>
    <w:rsid w:val="005D6620"/>
    <w:rsid w:val="005E0E5C"/>
    <w:rsid w:val="005F03A7"/>
    <w:rsid w:val="006105AD"/>
    <w:rsid w:val="00612232"/>
    <w:rsid w:val="00615CAF"/>
    <w:rsid w:val="00623FAF"/>
    <w:rsid w:val="0062660C"/>
    <w:rsid w:val="00627FB3"/>
    <w:rsid w:val="00634032"/>
    <w:rsid w:val="00636CFB"/>
    <w:rsid w:val="00640D15"/>
    <w:rsid w:val="006414B5"/>
    <w:rsid w:val="006422DF"/>
    <w:rsid w:val="00642754"/>
    <w:rsid w:val="00642EBD"/>
    <w:rsid w:val="0065111D"/>
    <w:rsid w:val="006543EA"/>
    <w:rsid w:val="006600FB"/>
    <w:rsid w:val="006704BC"/>
    <w:rsid w:val="0067119F"/>
    <w:rsid w:val="00673013"/>
    <w:rsid w:val="00677333"/>
    <w:rsid w:val="0068483B"/>
    <w:rsid w:val="006901AA"/>
    <w:rsid w:val="0069203E"/>
    <w:rsid w:val="006A0EA1"/>
    <w:rsid w:val="006A7BB3"/>
    <w:rsid w:val="006B3ACC"/>
    <w:rsid w:val="006B52AE"/>
    <w:rsid w:val="006B7EC2"/>
    <w:rsid w:val="006B7F5C"/>
    <w:rsid w:val="006C0702"/>
    <w:rsid w:val="006C481E"/>
    <w:rsid w:val="006C6592"/>
    <w:rsid w:val="006D32D3"/>
    <w:rsid w:val="006E0829"/>
    <w:rsid w:val="006E5B68"/>
    <w:rsid w:val="006E6B7E"/>
    <w:rsid w:val="00721B02"/>
    <w:rsid w:val="0072261E"/>
    <w:rsid w:val="007235E6"/>
    <w:rsid w:val="00725D3D"/>
    <w:rsid w:val="00731552"/>
    <w:rsid w:val="00732CB4"/>
    <w:rsid w:val="00735F46"/>
    <w:rsid w:val="00737784"/>
    <w:rsid w:val="00741FC9"/>
    <w:rsid w:val="00742E54"/>
    <w:rsid w:val="0074492A"/>
    <w:rsid w:val="0075254B"/>
    <w:rsid w:val="00763CE0"/>
    <w:rsid w:val="00763D5B"/>
    <w:rsid w:val="00770608"/>
    <w:rsid w:val="00772DC7"/>
    <w:rsid w:val="0078302C"/>
    <w:rsid w:val="00784FE2"/>
    <w:rsid w:val="0078682C"/>
    <w:rsid w:val="00793EEE"/>
    <w:rsid w:val="007945A7"/>
    <w:rsid w:val="007A3FF7"/>
    <w:rsid w:val="007A47D7"/>
    <w:rsid w:val="007B0B4B"/>
    <w:rsid w:val="007B1083"/>
    <w:rsid w:val="007B6590"/>
    <w:rsid w:val="007B6867"/>
    <w:rsid w:val="007B74BB"/>
    <w:rsid w:val="007C2019"/>
    <w:rsid w:val="007C38C0"/>
    <w:rsid w:val="007C56D7"/>
    <w:rsid w:val="007C7777"/>
    <w:rsid w:val="007D1D8E"/>
    <w:rsid w:val="007E07AF"/>
    <w:rsid w:val="007E377C"/>
    <w:rsid w:val="007E45DF"/>
    <w:rsid w:val="007E58E6"/>
    <w:rsid w:val="007F18D7"/>
    <w:rsid w:val="007F5DF1"/>
    <w:rsid w:val="007F66FD"/>
    <w:rsid w:val="007F7EAE"/>
    <w:rsid w:val="00804E42"/>
    <w:rsid w:val="00814541"/>
    <w:rsid w:val="00816640"/>
    <w:rsid w:val="008211A4"/>
    <w:rsid w:val="00822A57"/>
    <w:rsid w:val="00825449"/>
    <w:rsid w:val="00825F6D"/>
    <w:rsid w:val="008316DA"/>
    <w:rsid w:val="00832EEC"/>
    <w:rsid w:val="00834AC3"/>
    <w:rsid w:val="008368F3"/>
    <w:rsid w:val="0083755B"/>
    <w:rsid w:val="00846C49"/>
    <w:rsid w:val="00850C5E"/>
    <w:rsid w:val="00852D58"/>
    <w:rsid w:val="008554FC"/>
    <w:rsid w:val="00860A94"/>
    <w:rsid w:val="008637A0"/>
    <w:rsid w:val="00863843"/>
    <w:rsid w:val="00863D0C"/>
    <w:rsid w:val="00867CF9"/>
    <w:rsid w:val="008719D7"/>
    <w:rsid w:val="00873D21"/>
    <w:rsid w:val="0088072D"/>
    <w:rsid w:val="00885725"/>
    <w:rsid w:val="00887E0C"/>
    <w:rsid w:val="00892FFB"/>
    <w:rsid w:val="008B1FC3"/>
    <w:rsid w:val="008B50F1"/>
    <w:rsid w:val="008B5F3B"/>
    <w:rsid w:val="008C5B81"/>
    <w:rsid w:val="008C67E6"/>
    <w:rsid w:val="008C71BB"/>
    <w:rsid w:val="008D3F4E"/>
    <w:rsid w:val="008D4C88"/>
    <w:rsid w:val="008D5E45"/>
    <w:rsid w:val="008F01D6"/>
    <w:rsid w:val="008F1477"/>
    <w:rsid w:val="008F1BBB"/>
    <w:rsid w:val="008F3019"/>
    <w:rsid w:val="008F6EB4"/>
    <w:rsid w:val="008F7023"/>
    <w:rsid w:val="008F7B33"/>
    <w:rsid w:val="009006FA"/>
    <w:rsid w:val="00901B20"/>
    <w:rsid w:val="00903172"/>
    <w:rsid w:val="0090431C"/>
    <w:rsid w:val="00910958"/>
    <w:rsid w:val="00920608"/>
    <w:rsid w:val="009208CD"/>
    <w:rsid w:val="00920C4E"/>
    <w:rsid w:val="00926AAE"/>
    <w:rsid w:val="00927630"/>
    <w:rsid w:val="00931D03"/>
    <w:rsid w:val="00937655"/>
    <w:rsid w:val="009378FC"/>
    <w:rsid w:val="00941FF6"/>
    <w:rsid w:val="00942843"/>
    <w:rsid w:val="009441A8"/>
    <w:rsid w:val="00953DB3"/>
    <w:rsid w:val="00956CF3"/>
    <w:rsid w:val="00962773"/>
    <w:rsid w:val="00964483"/>
    <w:rsid w:val="00972A19"/>
    <w:rsid w:val="00972CAC"/>
    <w:rsid w:val="00982570"/>
    <w:rsid w:val="009849E2"/>
    <w:rsid w:val="00984E63"/>
    <w:rsid w:val="009859E4"/>
    <w:rsid w:val="00990154"/>
    <w:rsid w:val="0099152A"/>
    <w:rsid w:val="00992357"/>
    <w:rsid w:val="009A338C"/>
    <w:rsid w:val="009B28EA"/>
    <w:rsid w:val="009B6E83"/>
    <w:rsid w:val="009B7E0A"/>
    <w:rsid w:val="009D1F9D"/>
    <w:rsid w:val="009D5464"/>
    <w:rsid w:val="009E4E3B"/>
    <w:rsid w:val="009F1AF8"/>
    <w:rsid w:val="009F223E"/>
    <w:rsid w:val="00A001BF"/>
    <w:rsid w:val="00A009CE"/>
    <w:rsid w:val="00A00DFF"/>
    <w:rsid w:val="00A15862"/>
    <w:rsid w:val="00A16AB9"/>
    <w:rsid w:val="00A2197D"/>
    <w:rsid w:val="00A23569"/>
    <w:rsid w:val="00A26A90"/>
    <w:rsid w:val="00A33A54"/>
    <w:rsid w:val="00A3453B"/>
    <w:rsid w:val="00A36183"/>
    <w:rsid w:val="00A36B6A"/>
    <w:rsid w:val="00A421C1"/>
    <w:rsid w:val="00A441B5"/>
    <w:rsid w:val="00A544DC"/>
    <w:rsid w:val="00A60728"/>
    <w:rsid w:val="00A61601"/>
    <w:rsid w:val="00A61DB9"/>
    <w:rsid w:val="00A64F09"/>
    <w:rsid w:val="00A65706"/>
    <w:rsid w:val="00A71DA3"/>
    <w:rsid w:val="00A72054"/>
    <w:rsid w:val="00A72D46"/>
    <w:rsid w:val="00A82652"/>
    <w:rsid w:val="00A83B4C"/>
    <w:rsid w:val="00A869E9"/>
    <w:rsid w:val="00A8735F"/>
    <w:rsid w:val="00A9232E"/>
    <w:rsid w:val="00A92A1C"/>
    <w:rsid w:val="00A94C1C"/>
    <w:rsid w:val="00AA410F"/>
    <w:rsid w:val="00AA5DAE"/>
    <w:rsid w:val="00AB1757"/>
    <w:rsid w:val="00AB1EEB"/>
    <w:rsid w:val="00AB5F81"/>
    <w:rsid w:val="00AC0021"/>
    <w:rsid w:val="00AC7BB8"/>
    <w:rsid w:val="00AD15B3"/>
    <w:rsid w:val="00AD1D42"/>
    <w:rsid w:val="00AE0CCA"/>
    <w:rsid w:val="00AE1642"/>
    <w:rsid w:val="00AE1E5A"/>
    <w:rsid w:val="00AF3181"/>
    <w:rsid w:val="00AF474F"/>
    <w:rsid w:val="00AF7377"/>
    <w:rsid w:val="00AF7B92"/>
    <w:rsid w:val="00B0198D"/>
    <w:rsid w:val="00B06D29"/>
    <w:rsid w:val="00B14275"/>
    <w:rsid w:val="00B142A1"/>
    <w:rsid w:val="00B209A1"/>
    <w:rsid w:val="00B22862"/>
    <w:rsid w:val="00B249BF"/>
    <w:rsid w:val="00B259E5"/>
    <w:rsid w:val="00B26574"/>
    <w:rsid w:val="00B3000D"/>
    <w:rsid w:val="00B324F7"/>
    <w:rsid w:val="00B33A7A"/>
    <w:rsid w:val="00B44AC2"/>
    <w:rsid w:val="00B47BEB"/>
    <w:rsid w:val="00B500F0"/>
    <w:rsid w:val="00B5358F"/>
    <w:rsid w:val="00B540D7"/>
    <w:rsid w:val="00B615F6"/>
    <w:rsid w:val="00B62DD2"/>
    <w:rsid w:val="00B634B1"/>
    <w:rsid w:val="00B65D9F"/>
    <w:rsid w:val="00B67835"/>
    <w:rsid w:val="00B70440"/>
    <w:rsid w:val="00B73E62"/>
    <w:rsid w:val="00B81104"/>
    <w:rsid w:val="00B85F10"/>
    <w:rsid w:val="00B868F0"/>
    <w:rsid w:val="00B96E70"/>
    <w:rsid w:val="00BA05AF"/>
    <w:rsid w:val="00BA286E"/>
    <w:rsid w:val="00BA3D04"/>
    <w:rsid w:val="00BA5192"/>
    <w:rsid w:val="00BB310A"/>
    <w:rsid w:val="00BB5B24"/>
    <w:rsid w:val="00BB69BE"/>
    <w:rsid w:val="00BB721F"/>
    <w:rsid w:val="00BC1F06"/>
    <w:rsid w:val="00BC220E"/>
    <w:rsid w:val="00BC3BC7"/>
    <w:rsid w:val="00BC7982"/>
    <w:rsid w:val="00BD053A"/>
    <w:rsid w:val="00BD162A"/>
    <w:rsid w:val="00BD72F4"/>
    <w:rsid w:val="00BD7833"/>
    <w:rsid w:val="00BE2E2F"/>
    <w:rsid w:val="00BE3634"/>
    <w:rsid w:val="00BE72F7"/>
    <w:rsid w:val="00BF101B"/>
    <w:rsid w:val="00BF1256"/>
    <w:rsid w:val="00BF2572"/>
    <w:rsid w:val="00BF3946"/>
    <w:rsid w:val="00BF5162"/>
    <w:rsid w:val="00C01EC5"/>
    <w:rsid w:val="00C1075C"/>
    <w:rsid w:val="00C13460"/>
    <w:rsid w:val="00C15019"/>
    <w:rsid w:val="00C3068E"/>
    <w:rsid w:val="00C35200"/>
    <w:rsid w:val="00C420B8"/>
    <w:rsid w:val="00C4404C"/>
    <w:rsid w:val="00C45EE0"/>
    <w:rsid w:val="00C57E47"/>
    <w:rsid w:val="00C60A03"/>
    <w:rsid w:val="00C707D2"/>
    <w:rsid w:val="00C708B9"/>
    <w:rsid w:val="00C70F48"/>
    <w:rsid w:val="00C77CAF"/>
    <w:rsid w:val="00C82E5B"/>
    <w:rsid w:val="00C86825"/>
    <w:rsid w:val="00C90547"/>
    <w:rsid w:val="00C93675"/>
    <w:rsid w:val="00CA3AAF"/>
    <w:rsid w:val="00CA4B07"/>
    <w:rsid w:val="00CC2EA2"/>
    <w:rsid w:val="00CC4B37"/>
    <w:rsid w:val="00CD09CF"/>
    <w:rsid w:val="00CD5E05"/>
    <w:rsid w:val="00CD7E82"/>
    <w:rsid w:val="00CE3107"/>
    <w:rsid w:val="00CE3BCC"/>
    <w:rsid w:val="00CE74D4"/>
    <w:rsid w:val="00CE7664"/>
    <w:rsid w:val="00CF4802"/>
    <w:rsid w:val="00CF5930"/>
    <w:rsid w:val="00D0290A"/>
    <w:rsid w:val="00D074AD"/>
    <w:rsid w:val="00D116AE"/>
    <w:rsid w:val="00D1395A"/>
    <w:rsid w:val="00D13BD0"/>
    <w:rsid w:val="00D21B49"/>
    <w:rsid w:val="00D22CBC"/>
    <w:rsid w:val="00D24FA2"/>
    <w:rsid w:val="00D26C9D"/>
    <w:rsid w:val="00D31DE0"/>
    <w:rsid w:val="00D327E9"/>
    <w:rsid w:val="00D33905"/>
    <w:rsid w:val="00D33A46"/>
    <w:rsid w:val="00D36539"/>
    <w:rsid w:val="00D40420"/>
    <w:rsid w:val="00D40642"/>
    <w:rsid w:val="00D412CE"/>
    <w:rsid w:val="00D44C72"/>
    <w:rsid w:val="00D45375"/>
    <w:rsid w:val="00D554DA"/>
    <w:rsid w:val="00D649D7"/>
    <w:rsid w:val="00D80374"/>
    <w:rsid w:val="00D8454F"/>
    <w:rsid w:val="00D903F9"/>
    <w:rsid w:val="00D93B00"/>
    <w:rsid w:val="00DA5C57"/>
    <w:rsid w:val="00DB002C"/>
    <w:rsid w:val="00DB3EB3"/>
    <w:rsid w:val="00DB4B8C"/>
    <w:rsid w:val="00DB4D31"/>
    <w:rsid w:val="00DB6A2D"/>
    <w:rsid w:val="00DC082B"/>
    <w:rsid w:val="00DD0B5B"/>
    <w:rsid w:val="00DD296F"/>
    <w:rsid w:val="00DD4286"/>
    <w:rsid w:val="00DD467E"/>
    <w:rsid w:val="00DE02EC"/>
    <w:rsid w:val="00DE2700"/>
    <w:rsid w:val="00DE4BA6"/>
    <w:rsid w:val="00DE5B07"/>
    <w:rsid w:val="00DF57E0"/>
    <w:rsid w:val="00DF5F01"/>
    <w:rsid w:val="00E06C48"/>
    <w:rsid w:val="00E13680"/>
    <w:rsid w:val="00E222E7"/>
    <w:rsid w:val="00E2681A"/>
    <w:rsid w:val="00E27F3E"/>
    <w:rsid w:val="00E3783D"/>
    <w:rsid w:val="00E40D85"/>
    <w:rsid w:val="00E41B4B"/>
    <w:rsid w:val="00E43D55"/>
    <w:rsid w:val="00E46A1B"/>
    <w:rsid w:val="00E52EB8"/>
    <w:rsid w:val="00E55577"/>
    <w:rsid w:val="00E56A48"/>
    <w:rsid w:val="00E64012"/>
    <w:rsid w:val="00E853BF"/>
    <w:rsid w:val="00E8706D"/>
    <w:rsid w:val="00E876FE"/>
    <w:rsid w:val="00E90E65"/>
    <w:rsid w:val="00E91D46"/>
    <w:rsid w:val="00E952FE"/>
    <w:rsid w:val="00E97586"/>
    <w:rsid w:val="00E979EF"/>
    <w:rsid w:val="00E97D45"/>
    <w:rsid w:val="00EA5052"/>
    <w:rsid w:val="00EA5569"/>
    <w:rsid w:val="00EB5036"/>
    <w:rsid w:val="00EB6A49"/>
    <w:rsid w:val="00EC4BBC"/>
    <w:rsid w:val="00EC607E"/>
    <w:rsid w:val="00ED06AE"/>
    <w:rsid w:val="00ED3850"/>
    <w:rsid w:val="00ED41A1"/>
    <w:rsid w:val="00ED467D"/>
    <w:rsid w:val="00ED532C"/>
    <w:rsid w:val="00ED541D"/>
    <w:rsid w:val="00EE3076"/>
    <w:rsid w:val="00EE3286"/>
    <w:rsid w:val="00EE3386"/>
    <w:rsid w:val="00EE72F6"/>
    <w:rsid w:val="00EF3605"/>
    <w:rsid w:val="00EF4539"/>
    <w:rsid w:val="00EF5094"/>
    <w:rsid w:val="00EF6706"/>
    <w:rsid w:val="00EF7572"/>
    <w:rsid w:val="00F00B60"/>
    <w:rsid w:val="00F023F7"/>
    <w:rsid w:val="00F02508"/>
    <w:rsid w:val="00F034A8"/>
    <w:rsid w:val="00F04511"/>
    <w:rsid w:val="00F062FA"/>
    <w:rsid w:val="00F06993"/>
    <w:rsid w:val="00F10AEA"/>
    <w:rsid w:val="00F11EE6"/>
    <w:rsid w:val="00F14E73"/>
    <w:rsid w:val="00F17251"/>
    <w:rsid w:val="00F2056E"/>
    <w:rsid w:val="00F246CD"/>
    <w:rsid w:val="00F2565A"/>
    <w:rsid w:val="00F31D47"/>
    <w:rsid w:val="00F322B2"/>
    <w:rsid w:val="00F334D7"/>
    <w:rsid w:val="00F42855"/>
    <w:rsid w:val="00F45E79"/>
    <w:rsid w:val="00F51A70"/>
    <w:rsid w:val="00F53A38"/>
    <w:rsid w:val="00F549CD"/>
    <w:rsid w:val="00F6076B"/>
    <w:rsid w:val="00F6354C"/>
    <w:rsid w:val="00F670AC"/>
    <w:rsid w:val="00F67886"/>
    <w:rsid w:val="00F67B6B"/>
    <w:rsid w:val="00F70CE4"/>
    <w:rsid w:val="00F81CF4"/>
    <w:rsid w:val="00F92FDA"/>
    <w:rsid w:val="00FA3E55"/>
    <w:rsid w:val="00FA4AE7"/>
    <w:rsid w:val="00FB2051"/>
    <w:rsid w:val="00FB51AB"/>
    <w:rsid w:val="00FB53CD"/>
    <w:rsid w:val="00FB7D97"/>
    <w:rsid w:val="00FC100B"/>
    <w:rsid w:val="00FC1B88"/>
    <w:rsid w:val="00FD1B67"/>
    <w:rsid w:val="00FD5630"/>
    <w:rsid w:val="00FE52AB"/>
    <w:rsid w:val="00FE68D3"/>
    <w:rsid w:val="00FF1302"/>
    <w:rsid w:val="00FF40C0"/>
    <w:rsid w:val="00FF6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4C0"/>
  </w:style>
  <w:style w:type="paragraph" w:styleId="Ttulo1">
    <w:name w:val="heading 1"/>
    <w:basedOn w:val="Normal"/>
    <w:next w:val="Normal"/>
    <w:link w:val="Ttulo1Char"/>
    <w:qFormat/>
    <w:rsid w:val="00FE68D3"/>
    <w:pPr>
      <w:keepNext/>
      <w:outlineLvl w:val="0"/>
    </w:pPr>
    <w:rPr>
      <w:rFonts w:ascii="Arial" w:hAnsi="Arial"/>
      <w:b/>
      <w:sz w:val="28"/>
      <w:u w:val="single"/>
    </w:rPr>
  </w:style>
  <w:style w:type="paragraph" w:styleId="Ttulo3">
    <w:name w:val="heading 3"/>
    <w:basedOn w:val="Normal"/>
    <w:next w:val="Normal"/>
    <w:qFormat/>
    <w:rsid w:val="00642EBD"/>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E68D3"/>
    <w:pPr>
      <w:tabs>
        <w:tab w:val="center" w:pos="4419"/>
        <w:tab w:val="right" w:pos="8838"/>
      </w:tabs>
    </w:pPr>
    <w:rPr>
      <w:rFonts w:ascii="Arial" w:hAnsi="Arial"/>
      <w:sz w:val="24"/>
    </w:rPr>
  </w:style>
  <w:style w:type="paragraph" w:styleId="Recuodecorpodetexto">
    <w:name w:val="Body Text Indent"/>
    <w:basedOn w:val="Normal"/>
    <w:link w:val="RecuodecorpodetextoChar"/>
    <w:rsid w:val="00FE68D3"/>
    <w:pPr>
      <w:ind w:left="4962"/>
      <w:jc w:val="both"/>
    </w:pPr>
    <w:rPr>
      <w:rFonts w:ascii="Arial" w:hAnsi="Arial"/>
      <w:sz w:val="28"/>
    </w:rPr>
  </w:style>
  <w:style w:type="paragraph" w:styleId="Recuodecorpodetexto2">
    <w:name w:val="Body Text Indent 2"/>
    <w:basedOn w:val="Normal"/>
    <w:link w:val="Recuodecorpodetexto2Char"/>
    <w:semiHidden/>
    <w:rsid w:val="00FE68D3"/>
    <w:pPr>
      <w:ind w:left="851"/>
    </w:pPr>
    <w:rPr>
      <w:rFonts w:ascii="Arial" w:hAnsi="Arial"/>
      <w:sz w:val="24"/>
    </w:rPr>
  </w:style>
  <w:style w:type="paragraph" w:styleId="Textodebalo">
    <w:name w:val="Balloon Text"/>
    <w:basedOn w:val="Normal"/>
    <w:semiHidden/>
    <w:rsid w:val="00570BBD"/>
    <w:rPr>
      <w:rFonts w:ascii="Tahoma" w:hAnsi="Tahoma" w:cs="Tahoma"/>
      <w:sz w:val="16"/>
      <w:szCs w:val="16"/>
    </w:rPr>
  </w:style>
  <w:style w:type="paragraph" w:styleId="Corpodetexto">
    <w:name w:val="Body Text"/>
    <w:basedOn w:val="Normal"/>
    <w:link w:val="CorpodetextoChar"/>
    <w:rsid w:val="00642EBD"/>
    <w:pPr>
      <w:spacing w:after="120"/>
    </w:pPr>
  </w:style>
  <w:style w:type="paragraph" w:styleId="NormalWeb">
    <w:name w:val="Normal (Web)"/>
    <w:basedOn w:val="Normal"/>
    <w:rsid w:val="005C4BEF"/>
    <w:pPr>
      <w:spacing w:before="100" w:beforeAutospacing="1" w:after="100" w:afterAutospacing="1"/>
    </w:pPr>
    <w:rPr>
      <w:sz w:val="24"/>
      <w:szCs w:val="24"/>
    </w:rPr>
  </w:style>
  <w:style w:type="character" w:styleId="Hyperlink">
    <w:name w:val="Hyperlink"/>
    <w:basedOn w:val="Fontepargpadro"/>
    <w:rsid w:val="005C4BEF"/>
    <w:rPr>
      <w:color w:val="0000FF"/>
      <w:u w:val="single"/>
    </w:rPr>
  </w:style>
  <w:style w:type="paragraph" w:styleId="Rodap">
    <w:name w:val="footer"/>
    <w:basedOn w:val="Normal"/>
    <w:rsid w:val="00B65D9F"/>
    <w:pPr>
      <w:tabs>
        <w:tab w:val="center" w:pos="4252"/>
        <w:tab w:val="right" w:pos="8504"/>
      </w:tabs>
    </w:pPr>
  </w:style>
  <w:style w:type="character" w:styleId="Nmerodepgina">
    <w:name w:val="page number"/>
    <w:basedOn w:val="Fontepargpadro"/>
    <w:rsid w:val="00B65D9F"/>
  </w:style>
  <w:style w:type="character" w:customStyle="1" w:styleId="CabealhoChar">
    <w:name w:val="Cabeçalho Char"/>
    <w:basedOn w:val="Fontepargpadro"/>
    <w:link w:val="Cabealho"/>
    <w:rsid w:val="00447D7B"/>
    <w:rPr>
      <w:rFonts w:ascii="Arial" w:hAnsi="Arial"/>
      <w:sz w:val="24"/>
    </w:rPr>
  </w:style>
  <w:style w:type="character" w:customStyle="1" w:styleId="Ttulo1Char">
    <w:name w:val="Título 1 Char"/>
    <w:basedOn w:val="Fontepargpadro"/>
    <w:link w:val="Ttulo1"/>
    <w:rsid w:val="00B85F10"/>
    <w:rPr>
      <w:rFonts w:ascii="Arial" w:hAnsi="Arial"/>
      <w:b/>
      <w:sz w:val="28"/>
      <w:u w:val="single"/>
    </w:rPr>
  </w:style>
  <w:style w:type="character" w:customStyle="1" w:styleId="RecuodecorpodetextoChar">
    <w:name w:val="Recuo de corpo de texto Char"/>
    <w:basedOn w:val="Fontepargpadro"/>
    <w:link w:val="Recuodecorpodetexto"/>
    <w:rsid w:val="00B85F10"/>
    <w:rPr>
      <w:rFonts w:ascii="Arial" w:hAnsi="Arial"/>
      <w:sz w:val="28"/>
    </w:rPr>
  </w:style>
  <w:style w:type="character" w:customStyle="1" w:styleId="Recuodecorpodetexto2Char">
    <w:name w:val="Recuo de corpo de texto 2 Char"/>
    <w:basedOn w:val="Fontepargpadro"/>
    <w:link w:val="Recuodecorpodetexto2"/>
    <w:semiHidden/>
    <w:rsid w:val="00B85F10"/>
    <w:rPr>
      <w:rFonts w:ascii="Arial" w:hAnsi="Arial"/>
      <w:sz w:val="24"/>
    </w:rPr>
  </w:style>
  <w:style w:type="paragraph" w:styleId="Recuodecorpodetexto3">
    <w:name w:val="Body Text Indent 3"/>
    <w:basedOn w:val="Normal"/>
    <w:link w:val="Recuodecorpodetexto3Char"/>
    <w:rsid w:val="00721B02"/>
    <w:pPr>
      <w:spacing w:after="120"/>
      <w:ind w:left="283"/>
    </w:pPr>
    <w:rPr>
      <w:sz w:val="16"/>
      <w:szCs w:val="16"/>
    </w:rPr>
  </w:style>
  <w:style w:type="character" w:customStyle="1" w:styleId="Recuodecorpodetexto3Char">
    <w:name w:val="Recuo de corpo de texto 3 Char"/>
    <w:basedOn w:val="Fontepargpadro"/>
    <w:link w:val="Recuodecorpodetexto3"/>
    <w:rsid w:val="00721B02"/>
    <w:rPr>
      <w:sz w:val="16"/>
      <w:szCs w:val="16"/>
    </w:rPr>
  </w:style>
  <w:style w:type="character" w:customStyle="1" w:styleId="CorpodetextoChar">
    <w:name w:val="Corpo de texto Char"/>
    <w:basedOn w:val="Fontepargpadro"/>
    <w:link w:val="Corpodetexto"/>
    <w:rsid w:val="00721B02"/>
  </w:style>
  <w:style w:type="paragraph" w:styleId="PargrafodaLista">
    <w:name w:val="List Paragraph"/>
    <w:basedOn w:val="Normal"/>
    <w:uiPriority w:val="34"/>
    <w:qFormat/>
    <w:rsid w:val="00B3000D"/>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4C0"/>
  </w:style>
  <w:style w:type="paragraph" w:styleId="Ttulo1">
    <w:name w:val="heading 1"/>
    <w:basedOn w:val="Normal"/>
    <w:next w:val="Normal"/>
    <w:link w:val="Ttulo1Char"/>
    <w:qFormat/>
    <w:rsid w:val="00FE68D3"/>
    <w:pPr>
      <w:keepNext/>
      <w:outlineLvl w:val="0"/>
    </w:pPr>
    <w:rPr>
      <w:rFonts w:ascii="Arial" w:hAnsi="Arial"/>
      <w:b/>
      <w:sz w:val="28"/>
      <w:u w:val="single"/>
    </w:rPr>
  </w:style>
  <w:style w:type="paragraph" w:styleId="Ttulo3">
    <w:name w:val="heading 3"/>
    <w:basedOn w:val="Normal"/>
    <w:next w:val="Normal"/>
    <w:qFormat/>
    <w:rsid w:val="00642EBD"/>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E68D3"/>
    <w:pPr>
      <w:tabs>
        <w:tab w:val="center" w:pos="4419"/>
        <w:tab w:val="right" w:pos="8838"/>
      </w:tabs>
    </w:pPr>
    <w:rPr>
      <w:rFonts w:ascii="Arial" w:hAnsi="Arial"/>
      <w:sz w:val="24"/>
    </w:rPr>
  </w:style>
  <w:style w:type="paragraph" w:styleId="Recuodecorpodetexto">
    <w:name w:val="Body Text Indent"/>
    <w:basedOn w:val="Normal"/>
    <w:link w:val="RecuodecorpodetextoChar"/>
    <w:rsid w:val="00FE68D3"/>
    <w:pPr>
      <w:ind w:left="4962"/>
      <w:jc w:val="both"/>
    </w:pPr>
    <w:rPr>
      <w:rFonts w:ascii="Arial" w:hAnsi="Arial"/>
      <w:sz w:val="28"/>
    </w:rPr>
  </w:style>
  <w:style w:type="paragraph" w:styleId="Recuodecorpodetexto2">
    <w:name w:val="Body Text Indent 2"/>
    <w:basedOn w:val="Normal"/>
    <w:link w:val="Recuodecorpodetexto2Char"/>
    <w:semiHidden/>
    <w:rsid w:val="00FE68D3"/>
    <w:pPr>
      <w:ind w:left="851"/>
    </w:pPr>
    <w:rPr>
      <w:rFonts w:ascii="Arial" w:hAnsi="Arial"/>
      <w:sz w:val="24"/>
    </w:rPr>
  </w:style>
  <w:style w:type="paragraph" w:styleId="Textodebalo">
    <w:name w:val="Balloon Text"/>
    <w:basedOn w:val="Normal"/>
    <w:semiHidden/>
    <w:rsid w:val="00570BBD"/>
    <w:rPr>
      <w:rFonts w:ascii="Tahoma" w:hAnsi="Tahoma" w:cs="Tahoma"/>
      <w:sz w:val="16"/>
      <w:szCs w:val="16"/>
    </w:rPr>
  </w:style>
  <w:style w:type="paragraph" w:styleId="Corpodetexto">
    <w:name w:val="Body Text"/>
    <w:basedOn w:val="Normal"/>
    <w:link w:val="CorpodetextoChar"/>
    <w:rsid w:val="00642EBD"/>
    <w:pPr>
      <w:spacing w:after="120"/>
    </w:pPr>
  </w:style>
  <w:style w:type="paragraph" w:styleId="NormalWeb">
    <w:name w:val="Normal (Web)"/>
    <w:basedOn w:val="Normal"/>
    <w:rsid w:val="005C4BEF"/>
    <w:pPr>
      <w:spacing w:before="100" w:beforeAutospacing="1" w:after="100" w:afterAutospacing="1"/>
    </w:pPr>
    <w:rPr>
      <w:sz w:val="24"/>
      <w:szCs w:val="24"/>
    </w:rPr>
  </w:style>
  <w:style w:type="character" w:styleId="Hyperlink">
    <w:name w:val="Hyperlink"/>
    <w:basedOn w:val="Fontepargpadro"/>
    <w:rsid w:val="005C4BEF"/>
    <w:rPr>
      <w:color w:val="0000FF"/>
      <w:u w:val="single"/>
    </w:rPr>
  </w:style>
  <w:style w:type="paragraph" w:styleId="Rodap">
    <w:name w:val="footer"/>
    <w:basedOn w:val="Normal"/>
    <w:rsid w:val="00B65D9F"/>
    <w:pPr>
      <w:tabs>
        <w:tab w:val="center" w:pos="4252"/>
        <w:tab w:val="right" w:pos="8504"/>
      </w:tabs>
    </w:pPr>
  </w:style>
  <w:style w:type="character" w:styleId="Nmerodepgina">
    <w:name w:val="page number"/>
    <w:basedOn w:val="Fontepargpadro"/>
    <w:rsid w:val="00B65D9F"/>
  </w:style>
  <w:style w:type="character" w:customStyle="1" w:styleId="CabealhoChar">
    <w:name w:val="Cabeçalho Char"/>
    <w:basedOn w:val="Fontepargpadro"/>
    <w:link w:val="Cabealho"/>
    <w:rsid w:val="00447D7B"/>
    <w:rPr>
      <w:rFonts w:ascii="Arial" w:hAnsi="Arial"/>
      <w:sz w:val="24"/>
    </w:rPr>
  </w:style>
  <w:style w:type="character" w:customStyle="1" w:styleId="Ttulo1Char">
    <w:name w:val="Título 1 Char"/>
    <w:basedOn w:val="Fontepargpadro"/>
    <w:link w:val="Ttulo1"/>
    <w:rsid w:val="00B85F10"/>
    <w:rPr>
      <w:rFonts w:ascii="Arial" w:hAnsi="Arial"/>
      <w:b/>
      <w:sz w:val="28"/>
      <w:u w:val="single"/>
    </w:rPr>
  </w:style>
  <w:style w:type="character" w:customStyle="1" w:styleId="RecuodecorpodetextoChar">
    <w:name w:val="Recuo de corpo de texto Char"/>
    <w:basedOn w:val="Fontepargpadro"/>
    <w:link w:val="Recuodecorpodetexto"/>
    <w:rsid w:val="00B85F10"/>
    <w:rPr>
      <w:rFonts w:ascii="Arial" w:hAnsi="Arial"/>
      <w:sz w:val="28"/>
    </w:rPr>
  </w:style>
  <w:style w:type="character" w:customStyle="1" w:styleId="Recuodecorpodetexto2Char">
    <w:name w:val="Recuo de corpo de texto 2 Char"/>
    <w:basedOn w:val="Fontepargpadro"/>
    <w:link w:val="Recuodecorpodetexto2"/>
    <w:semiHidden/>
    <w:rsid w:val="00B85F10"/>
    <w:rPr>
      <w:rFonts w:ascii="Arial" w:hAnsi="Arial"/>
      <w:sz w:val="24"/>
    </w:rPr>
  </w:style>
  <w:style w:type="paragraph" w:styleId="Recuodecorpodetexto3">
    <w:name w:val="Body Text Indent 3"/>
    <w:basedOn w:val="Normal"/>
    <w:link w:val="Recuodecorpodetexto3Char"/>
    <w:rsid w:val="00721B02"/>
    <w:pPr>
      <w:spacing w:after="120"/>
      <w:ind w:left="283"/>
    </w:pPr>
    <w:rPr>
      <w:sz w:val="16"/>
      <w:szCs w:val="16"/>
    </w:rPr>
  </w:style>
  <w:style w:type="character" w:customStyle="1" w:styleId="Recuodecorpodetexto3Char">
    <w:name w:val="Recuo de corpo de texto 3 Char"/>
    <w:basedOn w:val="Fontepargpadro"/>
    <w:link w:val="Recuodecorpodetexto3"/>
    <w:rsid w:val="00721B02"/>
    <w:rPr>
      <w:sz w:val="16"/>
      <w:szCs w:val="16"/>
    </w:rPr>
  </w:style>
  <w:style w:type="character" w:customStyle="1" w:styleId="CorpodetextoChar">
    <w:name w:val="Corpo de texto Char"/>
    <w:basedOn w:val="Fontepargpadro"/>
    <w:link w:val="Corpodetexto"/>
    <w:rsid w:val="00721B02"/>
  </w:style>
  <w:style w:type="paragraph" w:styleId="PargrafodaLista">
    <w:name w:val="List Paragraph"/>
    <w:basedOn w:val="Normal"/>
    <w:uiPriority w:val="34"/>
    <w:qFormat/>
    <w:rsid w:val="00B3000D"/>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8760">
      <w:bodyDiv w:val="1"/>
      <w:marLeft w:val="0"/>
      <w:marRight w:val="0"/>
      <w:marTop w:val="0"/>
      <w:marBottom w:val="0"/>
      <w:divBdr>
        <w:top w:val="none" w:sz="0" w:space="0" w:color="auto"/>
        <w:left w:val="none" w:sz="0" w:space="0" w:color="auto"/>
        <w:bottom w:val="none" w:sz="0" w:space="0" w:color="auto"/>
        <w:right w:val="none" w:sz="0" w:space="0" w:color="auto"/>
      </w:divBdr>
    </w:div>
    <w:div w:id="277378498">
      <w:bodyDiv w:val="1"/>
      <w:marLeft w:val="0"/>
      <w:marRight w:val="0"/>
      <w:marTop w:val="0"/>
      <w:marBottom w:val="0"/>
      <w:divBdr>
        <w:top w:val="none" w:sz="0" w:space="0" w:color="auto"/>
        <w:left w:val="none" w:sz="0" w:space="0" w:color="auto"/>
        <w:bottom w:val="none" w:sz="0" w:space="0" w:color="auto"/>
        <w:right w:val="none" w:sz="0" w:space="0" w:color="auto"/>
      </w:divBdr>
    </w:div>
    <w:div w:id="347294906">
      <w:bodyDiv w:val="1"/>
      <w:marLeft w:val="0"/>
      <w:marRight w:val="0"/>
      <w:marTop w:val="0"/>
      <w:marBottom w:val="0"/>
      <w:divBdr>
        <w:top w:val="none" w:sz="0" w:space="0" w:color="auto"/>
        <w:left w:val="none" w:sz="0" w:space="0" w:color="auto"/>
        <w:bottom w:val="none" w:sz="0" w:space="0" w:color="auto"/>
        <w:right w:val="none" w:sz="0" w:space="0" w:color="auto"/>
      </w:divBdr>
    </w:div>
    <w:div w:id="890456352">
      <w:bodyDiv w:val="1"/>
      <w:marLeft w:val="0"/>
      <w:marRight w:val="0"/>
      <w:marTop w:val="0"/>
      <w:marBottom w:val="0"/>
      <w:divBdr>
        <w:top w:val="none" w:sz="0" w:space="0" w:color="auto"/>
        <w:left w:val="none" w:sz="0" w:space="0" w:color="auto"/>
        <w:bottom w:val="none" w:sz="0" w:space="0" w:color="auto"/>
        <w:right w:val="none" w:sz="0" w:space="0" w:color="auto"/>
      </w:divBdr>
    </w:div>
    <w:div w:id="1300070219">
      <w:bodyDiv w:val="1"/>
      <w:marLeft w:val="0"/>
      <w:marRight w:val="0"/>
      <w:marTop w:val="0"/>
      <w:marBottom w:val="0"/>
      <w:divBdr>
        <w:top w:val="none" w:sz="0" w:space="0" w:color="auto"/>
        <w:left w:val="none" w:sz="0" w:space="0" w:color="auto"/>
        <w:bottom w:val="none" w:sz="0" w:space="0" w:color="auto"/>
        <w:right w:val="none" w:sz="0" w:space="0" w:color="auto"/>
      </w:divBdr>
    </w:div>
    <w:div w:id="1566793386">
      <w:bodyDiv w:val="1"/>
      <w:marLeft w:val="0"/>
      <w:marRight w:val="0"/>
      <w:marTop w:val="0"/>
      <w:marBottom w:val="0"/>
      <w:divBdr>
        <w:top w:val="none" w:sz="0" w:space="0" w:color="auto"/>
        <w:left w:val="none" w:sz="0" w:space="0" w:color="auto"/>
        <w:bottom w:val="none" w:sz="0" w:space="0" w:color="auto"/>
        <w:right w:val="none" w:sz="0" w:space="0" w:color="auto"/>
      </w:divBdr>
    </w:div>
    <w:div w:id="2021228460">
      <w:bodyDiv w:val="1"/>
      <w:marLeft w:val="0"/>
      <w:marRight w:val="0"/>
      <w:marTop w:val="0"/>
      <w:marBottom w:val="0"/>
      <w:divBdr>
        <w:top w:val="none" w:sz="0" w:space="0" w:color="auto"/>
        <w:left w:val="none" w:sz="0" w:space="0" w:color="auto"/>
        <w:bottom w:val="none" w:sz="0" w:space="0" w:color="auto"/>
        <w:right w:val="none" w:sz="0" w:space="0" w:color="auto"/>
      </w:divBdr>
    </w:div>
    <w:div w:id="208556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6/Lei/L13303.htm" TargetMode="External"/><Relationship Id="rId13" Type="http://schemas.openxmlformats.org/officeDocument/2006/relationships/hyperlink" Target="http://www.planalto.gov.br/ccivil_03/LEIS/L8666cons.htm" TargetMode="External"/><Relationship Id="rId18" Type="http://schemas.openxmlformats.org/officeDocument/2006/relationships/hyperlink" Target="http://www.planalto.gov.br/ccivil_03/LEIS/L9784.htm" TargetMode="External"/><Relationship Id="rId3" Type="http://schemas.microsoft.com/office/2007/relationships/stylesWithEffects" Target="stylesWithEffects.xml"/><Relationship Id="rId21" Type="http://schemas.openxmlformats.org/officeDocument/2006/relationships/hyperlink" Target="http://www.planalto.gov.br/ccivil_03/LEIS/L8666cons.htm" TargetMode="External"/><Relationship Id="rId7" Type="http://schemas.openxmlformats.org/officeDocument/2006/relationships/endnotes" Target="endnotes.xml"/><Relationship Id="rId12" Type="http://schemas.openxmlformats.org/officeDocument/2006/relationships/hyperlink" Target="http://www.planalto.gov.br/ccivil_03/LEIS/LCP/Lcp123.htm" TargetMode="External"/><Relationship Id="rId17" Type="http://schemas.openxmlformats.org/officeDocument/2006/relationships/hyperlink" Target="http://www.planalto.gov.br/ccivil_03/_Ato2015-2018/2015/Decreto/D8538.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lanalto.gov.br/ccivil_03/_Ato2015-2018/2016/Decreto/D8660.htm" TargetMode="External"/><Relationship Id="rId20" Type="http://schemas.openxmlformats.org/officeDocument/2006/relationships/hyperlink" Target="http://www.planalto.gov.br/ccivil_03/LEIS/L8666con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alto.gov.br/ccivil_03/LEIS/LCP/Lcp123.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LEIS/L8666cons.htm" TargetMode="External"/><Relationship Id="rId23" Type="http://schemas.openxmlformats.org/officeDocument/2006/relationships/footer" Target="footer2.xml"/><Relationship Id="rId10" Type="http://schemas.openxmlformats.org/officeDocument/2006/relationships/hyperlink" Target="http://www.planalto.gov.br/ccivil_03/_Ato2011-2014/2012/Decreto/D7724.htm" TargetMode="External"/><Relationship Id="rId19"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planalto.gov.br/ccivil_03/_Ato2011-2014/2011/Lei/L12527.htm" TargetMode="External"/><Relationship Id="rId14" Type="http://schemas.openxmlformats.org/officeDocument/2006/relationships/hyperlink" Target="http://www.planalto.gov.br/ccivil_03/Constituicao/Constituicao.htm"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7319</Words>
  <Characters>39527</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DECRETO Nº 001/2008</vt:lpstr>
    </vt:vector>
  </TitlesOfParts>
  <Company/>
  <LinksUpToDate>false</LinksUpToDate>
  <CharactersWithSpaces>46753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001/2008</dc:title>
  <dc:creator>Usuario</dc:creator>
  <cp:lastModifiedBy>iva</cp:lastModifiedBy>
  <cp:revision>4</cp:revision>
  <cp:lastPrinted>2020-06-25T17:50:00Z</cp:lastPrinted>
  <dcterms:created xsi:type="dcterms:W3CDTF">2020-07-17T18:44:00Z</dcterms:created>
  <dcterms:modified xsi:type="dcterms:W3CDTF">2020-07-17T18:50:00Z</dcterms:modified>
</cp:coreProperties>
</file>