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DE" w:rsidRDefault="002B09EB" w:rsidP="00B6357B">
      <w:pPr>
        <w:autoSpaceDE w:val="0"/>
        <w:autoSpaceDN w:val="0"/>
        <w:adjustRightInd w:val="0"/>
        <w:spacing w:after="0" w:line="240" w:lineRule="auto"/>
        <w:ind w:left="-426" w:right="-709"/>
        <w:jc w:val="right"/>
        <w:rPr>
          <w:rFonts w:ascii="Bahnschrift SemiBold" w:hAnsi="Bahnschrift SemiBold" w:cs="Arial"/>
          <w:b/>
          <w:color w:val="215868" w:themeColor="accent5" w:themeShade="80"/>
          <w:sz w:val="52"/>
          <w:szCs w:val="52"/>
          <w:lang w:val="es-ES_tradnl"/>
        </w:rPr>
      </w:pPr>
      <w:bookmarkStart w:id="0" w:name="_GoBack"/>
      <w:bookmarkEnd w:id="0"/>
      <w:r>
        <w:rPr>
          <w:rFonts w:ascii="Bahnschrift SemiBold" w:hAnsi="Bahnschrift SemiBold" w:cs="Arial"/>
          <w:b/>
          <w:color w:val="215868" w:themeColor="accent5" w:themeShade="80"/>
          <w:sz w:val="52"/>
          <w:szCs w:val="52"/>
        </w:rPr>
        <w:t xml:space="preserve">MUNICÍPIO DE </w:t>
      </w:r>
      <w:r w:rsidR="00B6357B" w:rsidRPr="00CB51DE">
        <w:rPr>
          <w:rFonts w:ascii="Bahnschrift SemiBold" w:hAnsi="Bahnschrift SemiBold" w:cs="Arial"/>
          <w:b/>
          <w:color w:val="215868" w:themeColor="accent5" w:themeShade="80"/>
          <w:sz w:val="52"/>
          <w:szCs w:val="52"/>
        </w:rPr>
        <w:t xml:space="preserve">SANTA TEREZINHA DO </w:t>
      </w:r>
      <w:r w:rsidR="00CB51DE" w:rsidRPr="00CB51DE">
        <w:rPr>
          <w:rFonts w:ascii="Bahnschrift SemiBold" w:hAnsi="Bahnschrift SemiBold" w:cs="Arial"/>
          <w:b/>
          <w:color w:val="215868" w:themeColor="accent5" w:themeShade="80"/>
          <w:sz w:val="52"/>
          <w:szCs w:val="52"/>
        </w:rPr>
        <w:t>P</w:t>
      </w:r>
      <w:r w:rsidR="00B6357B" w:rsidRPr="00CB51DE">
        <w:rPr>
          <w:rFonts w:ascii="Bahnschrift SemiBold" w:hAnsi="Bahnschrift SemiBold" w:cs="Arial"/>
          <w:b/>
          <w:color w:val="215868" w:themeColor="accent5" w:themeShade="80"/>
          <w:sz w:val="52"/>
          <w:szCs w:val="52"/>
        </w:rPr>
        <w:t>ROGRESSO</w:t>
      </w:r>
      <w:r w:rsidR="00B16552" w:rsidRPr="00CB51DE">
        <w:rPr>
          <w:rFonts w:ascii="Bahnschrift SemiBold" w:hAnsi="Bahnschrift SemiBold" w:cs="Arial"/>
          <w:b/>
          <w:color w:val="215868" w:themeColor="accent5" w:themeShade="80"/>
          <w:sz w:val="52"/>
          <w:szCs w:val="52"/>
          <w:lang w:val="es-ES_tradnl"/>
        </w:rPr>
        <w:t>, SC</w:t>
      </w:r>
    </w:p>
    <w:p w:rsidR="00CB51DE" w:rsidRPr="00CB51DE" w:rsidRDefault="00CB51DE" w:rsidP="00B6357B">
      <w:pPr>
        <w:autoSpaceDE w:val="0"/>
        <w:autoSpaceDN w:val="0"/>
        <w:adjustRightInd w:val="0"/>
        <w:spacing w:after="0" w:line="240" w:lineRule="auto"/>
        <w:ind w:left="-426" w:right="-709"/>
        <w:jc w:val="right"/>
        <w:rPr>
          <w:rFonts w:ascii="Bahnschrift SemiBold" w:hAnsi="Bahnschrift SemiBold" w:cs="Arial"/>
          <w:b/>
          <w:color w:val="215868" w:themeColor="accent5" w:themeShade="80"/>
          <w:sz w:val="52"/>
          <w:szCs w:val="52"/>
          <w:lang w:val="es-ES_tradnl"/>
        </w:rPr>
      </w:pPr>
    </w:p>
    <w:p w:rsidR="00CB51DE" w:rsidRDefault="00CB51DE" w:rsidP="00B6357B">
      <w:pPr>
        <w:autoSpaceDE w:val="0"/>
        <w:autoSpaceDN w:val="0"/>
        <w:adjustRightInd w:val="0"/>
        <w:spacing w:after="0" w:line="240" w:lineRule="auto"/>
        <w:ind w:left="-426" w:right="-709"/>
        <w:jc w:val="right"/>
        <w:rPr>
          <w:rFonts w:ascii="Bahnschrift SemiBold" w:hAnsi="Bahnschrift SemiBold" w:cs="Arial"/>
          <w:b/>
          <w:color w:val="215868" w:themeColor="accent5" w:themeShade="80"/>
          <w:sz w:val="62"/>
          <w:szCs w:val="62"/>
          <w:lang w:val="es-ES_tradnl"/>
        </w:rPr>
      </w:pPr>
      <w:r>
        <w:rPr>
          <w:noProof/>
          <w:lang w:eastAsia="pt-BR"/>
        </w:rPr>
        <w:drawing>
          <wp:inline distT="0" distB="0" distL="0" distR="0">
            <wp:extent cx="6619874" cy="3495675"/>
            <wp:effectExtent l="19050" t="0" r="0" b="0"/>
            <wp:docPr id="1" name="Imagem 1" descr="A imagem pode conter: montanha, atividades ao ar livre e natu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montanha, atividades ao ar livre e natureza"/>
                    <pic:cNvPicPr>
                      <a:picLocks noChangeAspect="1" noChangeArrowheads="1"/>
                    </pic:cNvPicPr>
                  </pic:nvPicPr>
                  <pic:blipFill>
                    <a:blip r:embed="rId9" cstate="print"/>
                    <a:srcRect/>
                    <a:stretch>
                      <a:fillRect/>
                    </a:stretch>
                  </pic:blipFill>
                  <pic:spPr bwMode="auto">
                    <a:xfrm>
                      <a:off x="0" y="0"/>
                      <a:ext cx="6617687" cy="3494520"/>
                    </a:xfrm>
                    <a:prstGeom prst="rect">
                      <a:avLst/>
                    </a:prstGeom>
                    <a:noFill/>
                    <a:ln w="9525">
                      <a:noFill/>
                      <a:miter lim="800000"/>
                      <a:headEnd/>
                      <a:tailEnd/>
                    </a:ln>
                  </pic:spPr>
                </pic:pic>
              </a:graphicData>
            </a:graphic>
          </wp:inline>
        </w:drawing>
      </w:r>
    </w:p>
    <w:p w:rsidR="00CB51DE" w:rsidRDefault="00CB51DE"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2D7DB6" w:rsidRDefault="00AC2E48"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sidRPr="00DA68B0">
        <w:rPr>
          <w:rFonts w:ascii="Bahnschrift" w:hAnsi="Bahnschrift" w:cs="Arial"/>
          <w:b/>
          <w:color w:val="215868" w:themeColor="accent5" w:themeShade="80"/>
          <w:sz w:val="56"/>
          <w:szCs w:val="56"/>
        </w:rPr>
        <w:t>NOTAS EXPLICATIVAS ÀS DEMONSTRAÇÕES CONTÁBEIS 201</w:t>
      </w:r>
      <w:r w:rsidR="00B95B0E">
        <w:rPr>
          <w:rFonts w:ascii="Bahnschrift" w:hAnsi="Bahnschrift" w:cs="Arial"/>
          <w:b/>
          <w:color w:val="215868" w:themeColor="accent5" w:themeShade="80"/>
          <w:sz w:val="56"/>
          <w:szCs w:val="56"/>
        </w:rPr>
        <w:t>9</w:t>
      </w:r>
      <w:r w:rsidRPr="00DA68B0">
        <w:rPr>
          <w:rFonts w:ascii="Bahnschrift" w:hAnsi="Bahnschrift" w:cs="Arial"/>
          <w:b/>
          <w:color w:val="215868" w:themeColor="accent5" w:themeShade="80"/>
          <w:sz w:val="56"/>
          <w:szCs w:val="56"/>
        </w:rPr>
        <w:t>.</w:t>
      </w:r>
    </w:p>
    <w:p w:rsidR="004A1663" w:rsidRPr="00B00DAD" w:rsidRDefault="004A1663" w:rsidP="00B16552">
      <w:pPr>
        <w:autoSpaceDE w:val="0"/>
        <w:autoSpaceDN w:val="0"/>
        <w:adjustRightInd w:val="0"/>
        <w:spacing w:after="0" w:line="240" w:lineRule="auto"/>
        <w:ind w:right="-709"/>
        <w:jc w:val="right"/>
        <w:rPr>
          <w:rFonts w:ascii="Bahnschrift" w:hAnsi="Bahnschrift" w:cs="Arial"/>
          <w:b/>
          <w:color w:val="215868" w:themeColor="accent5" w:themeShade="80"/>
          <w:sz w:val="10"/>
          <w:szCs w:val="10"/>
        </w:rPr>
      </w:pPr>
    </w:p>
    <w:p w:rsidR="004F6719" w:rsidRDefault="004F6719"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2B09EB" w:rsidRPr="002B09EB" w:rsidRDefault="002B09EB" w:rsidP="002B09EB">
      <w:pPr>
        <w:autoSpaceDE w:val="0"/>
        <w:autoSpaceDN w:val="0"/>
        <w:adjustRightInd w:val="0"/>
        <w:spacing w:after="0" w:line="240" w:lineRule="auto"/>
        <w:ind w:left="-426" w:right="-709"/>
        <w:jc w:val="right"/>
        <w:rPr>
          <w:rFonts w:ascii="Bahnschrift" w:hAnsi="Bahnschrift" w:cs="Arial"/>
          <w:b/>
          <w:color w:val="215868" w:themeColor="accent5" w:themeShade="80"/>
          <w:sz w:val="56"/>
          <w:szCs w:val="56"/>
        </w:rPr>
      </w:pPr>
      <w:r>
        <w:rPr>
          <w:rFonts w:ascii="Bahnschrift" w:hAnsi="Bahnschrift" w:cs="Arial"/>
          <w:b/>
          <w:color w:val="215868" w:themeColor="accent5" w:themeShade="80"/>
          <w:sz w:val="56"/>
          <w:szCs w:val="56"/>
        </w:rPr>
        <w:t xml:space="preserve">ENTIDADE: </w:t>
      </w:r>
      <w:r w:rsidRPr="002B09EB">
        <w:rPr>
          <w:rFonts w:ascii="Bahnschrift" w:hAnsi="Bahnschrift" w:cs="Arial"/>
          <w:b/>
          <w:color w:val="215868" w:themeColor="accent5" w:themeShade="80"/>
          <w:sz w:val="56"/>
          <w:szCs w:val="56"/>
        </w:rPr>
        <w:t xml:space="preserve">FUNDO MUNICIPAL DE SAÚDE </w:t>
      </w:r>
    </w:p>
    <w:p w:rsidR="002B09EB" w:rsidRDefault="002B09EB"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75701A" w:rsidRDefault="0075701A"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C96278" w:rsidRDefault="00C96278" w:rsidP="00807064">
      <w:pPr>
        <w:autoSpaceDE w:val="0"/>
        <w:autoSpaceDN w:val="0"/>
        <w:adjustRightInd w:val="0"/>
        <w:spacing w:after="0" w:line="240" w:lineRule="auto"/>
        <w:jc w:val="both"/>
        <w:rPr>
          <w:rFonts w:ascii="Arial" w:hAnsi="Arial" w:cs="Arial"/>
          <w:b/>
          <w:bCs/>
          <w:color w:val="0070C0"/>
          <w:lang w:val="es-ES_tradnl"/>
        </w:rPr>
      </w:pPr>
    </w:p>
    <w:p w:rsidR="008A3226" w:rsidRDefault="008A3226" w:rsidP="00807064">
      <w:pPr>
        <w:autoSpaceDE w:val="0"/>
        <w:autoSpaceDN w:val="0"/>
        <w:adjustRightInd w:val="0"/>
        <w:spacing w:after="0" w:line="240" w:lineRule="auto"/>
        <w:jc w:val="both"/>
        <w:rPr>
          <w:rFonts w:ascii="Arial" w:hAnsi="Arial" w:cs="Arial"/>
          <w:b/>
          <w:bCs/>
          <w:color w:val="0070C0"/>
          <w:lang w:val="es-ES_tradnl"/>
        </w:rPr>
      </w:pPr>
    </w:p>
    <w:p w:rsidR="008A3226" w:rsidRDefault="008A3226" w:rsidP="00807064">
      <w:pPr>
        <w:autoSpaceDE w:val="0"/>
        <w:autoSpaceDN w:val="0"/>
        <w:adjustRightInd w:val="0"/>
        <w:spacing w:after="0" w:line="240" w:lineRule="auto"/>
        <w:jc w:val="both"/>
        <w:rPr>
          <w:rFonts w:ascii="Arial" w:hAnsi="Arial" w:cs="Arial"/>
          <w:b/>
          <w:bCs/>
          <w:color w:val="0070C0"/>
          <w:lang w:val="es-ES_tradnl"/>
        </w:rPr>
      </w:pPr>
    </w:p>
    <w:p w:rsidR="003E4C6F" w:rsidRDefault="003E4C6F" w:rsidP="00807064">
      <w:pPr>
        <w:autoSpaceDE w:val="0"/>
        <w:autoSpaceDN w:val="0"/>
        <w:adjustRightInd w:val="0"/>
        <w:spacing w:after="0" w:line="240" w:lineRule="auto"/>
        <w:jc w:val="both"/>
        <w:rPr>
          <w:rFonts w:ascii="Arial" w:hAnsi="Arial" w:cs="Arial"/>
          <w:b/>
          <w:bCs/>
          <w:color w:val="0070C0"/>
          <w:lang w:val="es-ES_tradnl"/>
        </w:rPr>
      </w:pPr>
    </w:p>
    <w:p w:rsidR="001A11F7" w:rsidRPr="00116D9A" w:rsidRDefault="00C96278" w:rsidP="00C96278">
      <w:pPr>
        <w:spacing w:after="0" w:line="240" w:lineRule="auto"/>
        <w:ind w:left="-1276"/>
        <w:rPr>
          <w:b/>
          <w:color w:val="ABAA9B"/>
          <w:sz w:val="100"/>
        </w:rPr>
      </w:pPr>
      <w:r>
        <w:rPr>
          <w:b/>
          <w:color w:val="ABAA9B"/>
          <w:sz w:val="100"/>
        </w:rPr>
        <w:t>Este documento</w:t>
      </w:r>
      <w:r>
        <w:rPr>
          <w:b/>
          <w:color w:val="ABAA9B"/>
          <w:sz w:val="100"/>
        </w:rPr>
        <w:br/>
      </w:r>
      <w:r w:rsidR="001A11F7" w:rsidRPr="00116D9A">
        <w:rPr>
          <w:b/>
          <w:color w:val="ABAA9B"/>
          <w:sz w:val="100"/>
        </w:rPr>
        <w:t xml:space="preserve">é dos </w:t>
      </w:r>
    </w:p>
    <w:p w:rsidR="001A11F7" w:rsidRPr="00116D9A" w:rsidRDefault="00B6357B" w:rsidP="001A11F7">
      <w:pPr>
        <w:spacing w:after="0" w:line="240" w:lineRule="auto"/>
        <w:ind w:left="-1276"/>
        <w:rPr>
          <w:b/>
          <w:color w:val="ABAA9B"/>
          <w:sz w:val="100"/>
        </w:rPr>
      </w:pPr>
      <w:r>
        <w:rPr>
          <w:b/>
          <w:color w:val="ABAA9B"/>
          <w:sz w:val="100"/>
        </w:rPr>
        <w:t>Terezinhanos</w:t>
      </w:r>
    </w:p>
    <w:p w:rsidR="001A11F7" w:rsidRPr="00116D9A" w:rsidRDefault="001A11F7" w:rsidP="001A11F7">
      <w:pPr>
        <w:spacing w:after="0" w:line="240" w:lineRule="auto"/>
        <w:ind w:left="-5" w:hanging="10"/>
        <w:rPr>
          <w:sz w:val="30"/>
        </w:rPr>
      </w:pPr>
    </w:p>
    <w:p w:rsidR="001A11F7" w:rsidRPr="00116D9A" w:rsidRDefault="001A11F7" w:rsidP="001A11F7">
      <w:pPr>
        <w:spacing w:after="0" w:line="240" w:lineRule="auto"/>
        <w:ind w:left="-5" w:hanging="10"/>
        <w:rPr>
          <w:sz w:val="30"/>
        </w:rPr>
      </w:pPr>
    </w:p>
    <w:p w:rsidR="001A11F7" w:rsidRPr="00116D9A" w:rsidRDefault="001A11F7" w:rsidP="001A11F7">
      <w:pPr>
        <w:spacing w:after="0" w:line="240" w:lineRule="auto"/>
        <w:ind w:left="-5" w:hanging="10"/>
      </w:pPr>
      <w:r w:rsidRPr="00116D9A">
        <w:rPr>
          <w:sz w:val="30"/>
        </w:rPr>
        <w:t xml:space="preserve">A Notas Explicativas não são só uma obrigação legal ou uma formalidade. É por meio deste documento que o Governo Municipal presta contas aos cidadãos </w:t>
      </w:r>
      <w:r w:rsidR="00B6357B">
        <w:rPr>
          <w:sz w:val="30"/>
        </w:rPr>
        <w:t>Terezinhanos</w:t>
      </w:r>
      <w:r w:rsidRPr="00116D9A">
        <w:rPr>
          <w:sz w:val="30"/>
        </w:rPr>
        <w:t>.</w:t>
      </w:r>
    </w:p>
    <w:p w:rsidR="004A1663" w:rsidRDefault="004A1663" w:rsidP="001444CE">
      <w:pPr>
        <w:autoSpaceDE w:val="0"/>
        <w:autoSpaceDN w:val="0"/>
        <w:adjustRightInd w:val="0"/>
        <w:spacing w:after="0" w:line="240" w:lineRule="auto"/>
        <w:rPr>
          <w:rFonts w:ascii="Bahnschrift" w:hAnsi="Bahnschrift" w:cs="Arial"/>
          <w:b/>
          <w:bCs/>
          <w:color w:val="C00000"/>
          <w:sz w:val="28"/>
          <w:szCs w:val="28"/>
          <w:lang w:val="es-ES_tradnl"/>
        </w:rPr>
      </w:pPr>
    </w:p>
    <w:p w:rsidR="004F6719" w:rsidRDefault="004F6719"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C96278" w:rsidRDefault="00C96278" w:rsidP="001444CE">
      <w:pPr>
        <w:autoSpaceDE w:val="0"/>
        <w:autoSpaceDN w:val="0"/>
        <w:adjustRightInd w:val="0"/>
        <w:spacing w:after="0" w:line="240" w:lineRule="auto"/>
        <w:rPr>
          <w:rFonts w:ascii="Bahnschrift" w:hAnsi="Bahnschrift" w:cs="Arial"/>
          <w:b/>
          <w:bCs/>
          <w:color w:val="C00000"/>
          <w:sz w:val="28"/>
          <w:szCs w:val="28"/>
          <w:lang w:val="es-ES_tradnl"/>
        </w:rPr>
      </w:pPr>
    </w:p>
    <w:p w:rsidR="00DC01B3" w:rsidRPr="000727F4" w:rsidRDefault="00DC01B3" w:rsidP="00DC01B3">
      <w:pPr>
        <w:autoSpaceDE w:val="0"/>
        <w:autoSpaceDN w:val="0"/>
        <w:adjustRightInd w:val="0"/>
        <w:spacing w:after="0" w:line="240" w:lineRule="auto"/>
        <w:rPr>
          <w:rFonts w:ascii="Bahnschrift" w:hAnsi="Bahnschrift" w:cs="Arial"/>
          <w:b/>
          <w:bCs/>
          <w:sz w:val="28"/>
          <w:szCs w:val="28"/>
          <w:lang w:val="es-ES_tradnl"/>
        </w:rPr>
      </w:pPr>
      <w:r w:rsidRPr="000727F4">
        <w:rPr>
          <w:rFonts w:ascii="Bahnschrift" w:hAnsi="Bahnschrift" w:cs="Arial"/>
          <w:b/>
          <w:bCs/>
          <w:sz w:val="28"/>
          <w:szCs w:val="28"/>
          <w:lang w:val="es-ES_tradnl"/>
        </w:rPr>
        <w:t>APRESENTAÇÃO DAS NOTAS EXPLICATIVAS</w:t>
      </w:r>
    </w:p>
    <w:p w:rsidR="00DC01B3" w:rsidRPr="00F44ED8" w:rsidRDefault="00DC01B3" w:rsidP="00DC01B3">
      <w:pPr>
        <w:autoSpaceDE w:val="0"/>
        <w:autoSpaceDN w:val="0"/>
        <w:adjustRightInd w:val="0"/>
        <w:spacing w:after="0" w:line="240" w:lineRule="auto"/>
        <w:rPr>
          <w:rFonts w:ascii="Bahnschrift" w:hAnsi="Bahnschrift" w:cs="Arial"/>
          <w:b/>
          <w:bCs/>
          <w:color w:val="984806" w:themeColor="accent6" w:themeShade="80"/>
          <w:sz w:val="16"/>
          <w:szCs w:val="16"/>
        </w:rPr>
      </w:pPr>
    </w:p>
    <w:p w:rsidR="00DC01B3" w:rsidRPr="00AA1243" w:rsidRDefault="00DC01B3" w:rsidP="00DC01B3">
      <w:pPr>
        <w:autoSpaceDE w:val="0"/>
        <w:autoSpaceDN w:val="0"/>
        <w:adjustRightInd w:val="0"/>
        <w:spacing w:after="0" w:line="240" w:lineRule="auto"/>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1 INFORMAÇÕES GERAIS</w:t>
      </w:r>
    </w:p>
    <w:p w:rsidR="00DC01B3" w:rsidRPr="00AA1243" w:rsidRDefault="00DC01B3" w:rsidP="00DC01B3">
      <w:pPr>
        <w:pStyle w:val="PargrafodaLista"/>
        <w:numPr>
          <w:ilvl w:val="1"/>
          <w:numId w:val="7"/>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Natureza Jurídica da Entidade</w:t>
      </w:r>
      <w:r>
        <w:rPr>
          <w:rFonts w:ascii="Bahnschrift" w:hAnsi="Bahnschrift" w:cs="Arial"/>
          <w:b/>
          <w:bCs/>
          <w:color w:val="215868" w:themeColor="accent5" w:themeShade="80"/>
          <w:sz w:val="28"/>
          <w:szCs w:val="28"/>
        </w:rPr>
        <w:t>;</w:t>
      </w:r>
    </w:p>
    <w:p w:rsidR="00DC01B3" w:rsidRPr="00AA1243" w:rsidRDefault="00DC01B3" w:rsidP="00DC01B3">
      <w:pPr>
        <w:pStyle w:val="PargrafodaLista"/>
        <w:numPr>
          <w:ilvl w:val="1"/>
          <w:numId w:val="7"/>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Domicílio da Entidade</w:t>
      </w:r>
      <w:r>
        <w:rPr>
          <w:rFonts w:ascii="Bahnschrift" w:hAnsi="Bahnschrift" w:cs="Arial"/>
          <w:b/>
          <w:bCs/>
          <w:color w:val="215868" w:themeColor="accent5" w:themeShade="80"/>
          <w:sz w:val="28"/>
          <w:szCs w:val="28"/>
        </w:rPr>
        <w:t>;</w:t>
      </w:r>
    </w:p>
    <w:p w:rsidR="00DC01B3" w:rsidRPr="00AA1243" w:rsidRDefault="00DC01B3" w:rsidP="00DC01B3">
      <w:pPr>
        <w:pStyle w:val="PargrafodaLista"/>
        <w:numPr>
          <w:ilvl w:val="1"/>
          <w:numId w:val="7"/>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Natureza das operações e principais atividades da entidade</w:t>
      </w:r>
      <w:r>
        <w:rPr>
          <w:rFonts w:ascii="Bahnschrift" w:hAnsi="Bahnschrift" w:cs="Arial"/>
          <w:b/>
          <w:bCs/>
          <w:color w:val="215868" w:themeColor="accent5" w:themeShade="80"/>
          <w:sz w:val="28"/>
          <w:szCs w:val="28"/>
        </w:rPr>
        <w:t>;</w:t>
      </w:r>
    </w:p>
    <w:p w:rsidR="00DC01B3" w:rsidRPr="00AA1243" w:rsidRDefault="00DC01B3" w:rsidP="00DC01B3">
      <w:pPr>
        <w:pStyle w:val="PargrafodaLista"/>
        <w:numPr>
          <w:ilvl w:val="1"/>
          <w:numId w:val="7"/>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Declaração de conformidade com a legislação e com as normas de contabilidade aplicáveis</w:t>
      </w:r>
      <w:r>
        <w:rPr>
          <w:rFonts w:ascii="Bahnschrift" w:hAnsi="Bahnschrift" w:cs="Arial"/>
          <w:b/>
          <w:bCs/>
          <w:color w:val="215868" w:themeColor="accent5" w:themeShade="80"/>
          <w:sz w:val="28"/>
          <w:szCs w:val="28"/>
        </w:rPr>
        <w:t>.</w:t>
      </w:r>
    </w:p>
    <w:p w:rsidR="00DC01B3" w:rsidRPr="00F44ED8" w:rsidRDefault="00DC01B3" w:rsidP="00DC01B3">
      <w:pPr>
        <w:pStyle w:val="PargrafodaLista"/>
        <w:autoSpaceDE w:val="0"/>
        <w:autoSpaceDN w:val="0"/>
        <w:adjustRightInd w:val="0"/>
        <w:spacing w:after="0" w:line="240" w:lineRule="auto"/>
        <w:ind w:left="426" w:hanging="426"/>
        <w:rPr>
          <w:rFonts w:ascii="Bahnschrift" w:hAnsi="Bahnschrift" w:cs="Arial"/>
          <w:b/>
          <w:bCs/>
          <w:color w:val="984806" w:themeColor="accent6" w:themeShade="80"/>
          <w:sz w:val="16"/>
          <w:szCs w:val="16"/>
        </w:rPr>
      </w:pPr>
    </w:p>
    <w:p w:rsidR="00DC01B3" w:rsidRPr="00AA1243" w:rsidRDefault="00DC01B3" w:rsidP="00DC01B3">
      <w:pPr>
        <w:pStyle w:val="PargrafodaLista"/>
        <w:numPr>
          <w:ilvl w:val="0"/>
          <w:numId w:val="7"/>
        </w:num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 xml:space="preserve">RESUMO DAS POLÍTICAS CONTÁBEIS SIGNIFICATIVAS </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2.1 </w:t>
      </w:r>
      <w:r w:rsidRPr="00AA1243">
        <w:rPr>
          <w:rFonts w:ascii="Bahnschrift" w:hAnsi="Bahnschrift" w:cs="Arial"/>
          <w:b/>
          <w:bCs/>
          <w:color w:val="215868" w:themeColor="accent5" w:themeShade="80"/>
          <w:sz w:val="28"/>
          <w:szCs w:val="28"/>
        </w:rPr>
        <w:t>Bases de mensuração utilizadas</w:t>
      </w:r>
      <w:r>
        <w:rPr>
          <w:rFonts w:ascii="Bahnschrift" w:hAnsi="Bahnschrift" w:cs="Arial"/>
          <w:b/>
          <w:bCs/>
          <w:color w:val="215868" w:themeColor="accent5" w:themeShade="80"/>
          <w:sz w:val="28"/>
          <w:szCs w:val="28"/>
        </w:rPr>
        <w:t>;</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2.2 Novas normas e políticas contábeis alteradas</w:t>
      </w:r>
      <w:r>
        <w:rPr>
          <w:rFonts w:ascii="Bahnschrift" w:hAnsi="Bahnschrift" w:cs="Arial"/>
          <w:b/>
          <w:bCs/>
          <w:color w:val="215868" w:themeColor="accent5" w:themeShade="80"/>
          <w:sz w:val="28"/>
          <w:szCs w:val="28"/>
        </w:rPr>
        <w:t>;</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2.3 Julgamentos pela aplicação das políticas contábeis</w:t>
      </w:r>
      <w:r>
        <w:rPr>
          <w:rFonts w:ascii="Bahnschrift" w:hAnsi="Bahnschrift" w:cs="Arial"/>
          <w:b/>
          <w:bCs/>
          <w:color w:val="215868" w:themeColor="accent5" w:themeShade="80"/>
          <w:sz w:val="28"/>
          <w:szCs w:val="28"/>
        </w:rPr>
        <w:t>.</w:t>
      </w:r>
    </w:p>
    <w:p w:rsidR="00DC01B3" w:rsidRPr="00F44ED8" w:rsidRDefault="00DC01B3" w:rsidP="00DC01B3">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C01B3" w:rsidRDefault="00DC01B3" w:rsidP="00DC01B3">
      <w:pPr>
        <w:pStyle w:val="PargrafodaLista"/>
        <w:numPr>
          <w:ilvl w:val="0"/>
          <w:numId w:val="7"/>
        </w:num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DC01B3" w:rsidRPr="00F44ED8" w:rsidRDefault="00DC01B3" w:rsidP="00DC01B3">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C01B3" w:rsidRPr="00AA1243" w:rsidRDefault="00DC01B3" w:rsidP="00DC01B3">
      <w:p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4 OUTRAS INFORMAÇÕES RELEVANTES</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color w:val="215868" w:themeColor="accent5" w:themeShade="80"/>
          <w:sz w:val="28"/>
          <w:szCs w:val="28"/>
          <w:lang w:val="es-ES_tradnl"/>
        </w:rPr>
      </w:pPr>
      <w:r w:rsidRPr="00AA1243">
        <w:rPr>
          <w:rFonts w:ascii="Bahnschrift" w:hAnsi="Bahnschrift" w:cs="Arial"/>
          <w:b/>
          <w:bCs/>
          <w:color w:val="215868" w:themeColor="accent5" w:themeShade="80"/>
          <w:sz w:val="28"/>
          <w:szCs w:val="28"/>
        </w:rPr>
        <w:t>4.1 Passivos contingentes e compromissos contratuais não reconhecidos</w:t>
      </w:r>
      <w:r>
        <w:rPr>
          <w:rFonts w:ascii="Bahnschrift" w:hAnsi="Bahnschrift" w:cs="Arial"/>
          <w:b/>
          <w:bCs/>
          <w:color w:val="215868" w:themeColor="accent5" w:themeShade="80"/>
          <w:sz w:val="28"/>
          <w:szCs w:val="28"/>
        </w:rPr>
        <w:t>;</w:t>
      </w:r>
    </w:p>
    <w:p w:rsidR="00DC01B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BB0D4A">
        <w:rPr>
          <w:rFonts w:ascii="Arial" w:hAnsi="Arial" w:cs="Arial"/>
          <w:b/>
          <w:bCs/>
          <w:color w:val="215868" w:themeColor="accent5" w:themeShade="80"/>
          <w:sz w:val="24"/>
          <w:szCs w:val="24"/>
        </w:rPr>
        <w:t xml:space="preserve">4.2 Divulgações não financeiras, tais como: os objetivos e políticas de gestão </w:t>
      </w:r>
      <w:r w:rsidRPr="00F44ED8">
        <w:rPr>
          <w:rFonts w:ascii="Bahnschrift" w:hAnsi="Bahnschrift" w:cs="Arial"/>
          <w:b/>
          <w:bCs/>
          <w:color w:val="215868" w:themeColor="accent5" w:themeShade="80"/>
          <w:sz w:val="28"/>
          <w:szCs w:val="28"/>
        </w:rPr>
        <w:t>do risco financeiro da entidade; pressupostos das estimativas</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 xml:space="preserve">4.3 </w:t>
      </w:r>
      <w:r w:rsidRPr="00F44ED8">
        <w:rPr>
          <w:rFonts w:ascii="Bahnschrift" w:hAnsi="Bahnschrift" w:cs="Arial"/>
          <w:b/>
          <w:bCs/>
          <w:color w:val="215868" w:themeColor="accent5" w:themeShade="80"/>
          <w:sz w:val="28"/>
          <w:szCs w:val="28"/>
        </w:rPr>
        <w:t>Reconhecimento de inconformidades que podem afetar a compreensão do usuário sobre o desempenho e o direcionamento das operações da entidade no futuro</w:t>
      </w:r>
    </w:p>
    <w:p w:rsidR="00DC01B3" w:rsidRDefault="00DC01B3" w:rsidP="00DC01B3">
      <w:pPr>
        <w:autoSpaceDE w:val="0"/>
        <w:autoSpaceDN w:val="0"/>
        <w:adjustRightInd w:val="0"/>
        <w:spacing w:after="0" w:line="240" w:lineRule="auto"/>
        <w:ind w:left="426" w:hanging="426"/>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4.4 Ajustes decorrentes de omissões e erros de registro</w:t>
      </w:r>
      <w:r>
        <w:rPr>
          <w:rFonts w:ascii="Bahnschrift" w:hAnsi="Bahnschrift" w:cs="Arial"/>
          <w:b/>
          <w:bCs/>
          <w:color w:val="215868" w:themeColor="accent5" w:themeShade="80"/>
          <w:sz w:val="28"/>
          <w:szCs w:val="28"/>
        </w:rPr>
        <w:t>.</w:t>
      </w:r>
    </w:p>
    <w:p w:rsidR="00DC01B3" w:rsidRPr="00F44ED8" w:rsidRDefault="00DC01B3" w:rsidP="00DC01B3">
      <w:pPr>
        <w:autoSpaceDE w:val="0"/>
        <w:autoSpaceDN w:val="0"/>
        <w:adjustRightInd w:val="0"/>
        <w:spacing w:after="0" w:line="240" w:lineRule="auto"/>
        <w:ind w:left="426" w:hanging="426"/>
        <w:rPr>
          <w:rFonts w:ascii="Bahnschrift" w:hAnsi="Bahnschrift" w:cs="Arial"/>
          <w:b/>
          <w:bCs/>
          <w:color w:val="984806" w:themeColor="accent6" w:themeShade="80"/>
          <w:sz w:val="16"/>
          <w:szCs w:val="16"/>
          <w:lang w:val="es-ES_tradnl"/>
        </w:rPr>
      </w:pPr>
    </w:p>
    <w:p w:rsidR="00DC01B3" w:rsidRPr="000727F4" w:rsidRDefault="00DC01B3" w:rsidP="00DC01B3">
      <w:pPr>
        <w:autoSpaceDE w:val="0"/>
        <w:autoSpaceDN w:val="0"/>
        <w:adjustRightInd w:val="0"/>
        <w:spacing w:after="0" w:line="240" w:lineRule="auto"/>
        <w:ind w:left="426" w:hanging="426"/>
        <w:rPr>
          <w:rFonts w:ascii="Bahnschrift" w:hAnsi="Bahnschrift" w:cs="Arial"/>
          <w:b/>
          <w:bCs/>
          <w:sz w:val="28"/>
          <w:szCs w:val="28"/>
          <w:lang w:val="es-ES_tradnl"/>
        </w:rPr>
      </w:pPr>
      <w:r w:rsidRPr="000727F4">
        <w:rPr>
          <w:rFonts w:ascii="Bahnschrift" w:hAnsi="Bahnschrift" w:cs="Arial"/>
          <w:b/>
          <w:bCs/>
          <w:sz w:val="28"/>
          <w:szCs w:val="28"/>
          <w:lang w:val="es-ES_tradnl"/>
        </w:rPr>
        <w:t>NOTAS EXPLICATIVAS DO BALANÇO 2019</w:t>
      </w:r>
    </w:p>
    <w:p w:rsidR="00DC01B3" w:rsidRPr="00F44ED8" w:rsidRDefault="00DC01B3" w:rsidP="00DC01B3">
      <w:pPr>
        <w:autoSpaceDE w:val="0"/>
        <w:autoSpaceDN w:val="0"/>
        <w:adjustRightInd w:val="0"/>
        <w:spacing w:after="0" w:line="240" w:lineRule="auto"/>
        <w:ind w:left="426" w:hanging="426"/>
        <w:rPr>
          <w:rFonts w:ascii="Bahnschrift" w:hAnsi="Bahnschrift" w:cs="Arial"/>
          <w:b/>
          <w:bCs/>
          <w:color w:val="C00000"/>
          <w:sz w:val="16"/>
          <w:szCs w:val="16"/>
          <w:lang w:val="es-ES_tradnl"/>
        </w:rPr>
      </w:pPr>
    </w:p>
    <w:p w:rsidR="00DC01B3" w:rsidRPr="00AA1243" w:rsidRDefault="00DC01B3" w:rsidP="00DC01B3">
      <w:pPr>
        <w:autoSpaceDE w:val="0"/>
        <w:autoSpaceDN w:val="0"/>
        <w:adjustRightInd w:val="0"/>
        <w:spacing w:after="0" w:line="240" w:lineRule="auto"/>
        <w:jc w:val="both"/>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BASE DE ELABORAÇÃO E APRESENTAÇÃO DAS DEMONSTRAÇÕES CONTÁBEIS</w:t>
      </w:r>
    </w:p>
    <w:p w:rsidR="00DC01B3" w:rsidRPr="007E3EDD" w:rsidRDefault="00DC01B3" w:rsidP="00DC01B3">
      <w:pPr>
        <w:spacing w:after="0" w:line="240" w:lineRule="auto"/>
        <w:ind w:left="426" w:hanging="426"/>
        <w:rPr>
          <w:rFonts w:ascii="Bahnschrift" w:hAnsi="Bahnschrift" w:cs="Arial"/>
          <w:b/>
          <w:bCs/>
          <w:color w:val="984806" w:themeColor="accent6" w:themeShade="80"/>
          <w:sz w:val="10"/>
          <w:szCs w:val="10"/>
        </w:rPr>
      </w:pPr>
    </w:p>
    <w:p w:rsidR="00DC01B3" w:rsidRPr="00AA1243" w:rsidRDefault="00DC01B3" w:rsidP="00DC01B3">
      <w:pPr>
        <w:spacing w:after="0" w:line="240" w:lineRule="auto"/>
        <w:ind w:left="426" w:hanging="426"/>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lastRenderedPageBreak/>
        <w:t>NOTAS EXPLICATIVAS AO BALANÇO ORÇAMENTÁRIO</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1</w:t>
      </w:r>
      <w:r>
        <w:rPr>
          <w:rFonts w:ascii="Bahnschrift" w:hAnsi="Bahnschrift" w:cs="Arial"/>
          <w:b/>
          <w:bCs/>
          <w:color w:val="215868" w:themeColor="accent5" w:themeShade="80"/>
          <w:sz w:val="28"/>
          <w:szCs w:val="28"/>
        </w:rPr>
        <w:t>.</w:t>
      </w:r>
      <w:r w:rsidRPr="00AA1243">
        <w:rPr>
          <w:rFonts w:ascii="Bahnschrift" w:hAnsi="Bahnschrift" w:cs="Arial"/>
          <w:b/>
          <w:bCs/>
          <w:color w:val="215868" w:themeColor="accent5" w:themeShade="80"/>
          <w:sz w:val="28"/>
          <w:szCs w:val="28"/>
        </w:rPr>
        <w:t xml:space="preserve"> Previsã</w:t>
      </w:r>
      <w:r>
        <w:rPr>
          <w:rFonts w:ascii="Bahnschrift" w:hAnsi="Bahnschrift" w:cs="Arial"/>
          <w:b/>
          <w:bCs/>
          <w:color w:val="215868" w:themeColor="accent5" w:themeShade="80"/>
          <w:sz w:val="28"/>
          <w:szCs w:val="28"/>
        </w:rPr>
        <w:t>o da receita versus arrecadação;</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w:t>
      </w:r>
      <w:r w:rsidRPr="00AA1243">
        <w:rPr>
          <w:rFonts w:ascii="Bahnschrift" w:hAnsi="Bahnschrift" w:cs="Arial"/>
          <w:b/>
          <w:bCs/>
          <w:color w:val="215868" w:themeColor="accent5" w:themeShade="80"/>
          <w:sz w:val="28"/>
          <w:szCs w:val="28"/>
        </w:rPr>
        <w:t xml:space="preserve"> Detalhamento das receitas e despesas int</w:t>
      </w:r>
      <w:r>
        <w:rPr>
          <w:rFonts w:ascii="Bahnschrift" w:hAnsi="Bahnschrift" w:cs="Arial"/>
          <w:b/>
          <w:bCs/>
          <w:color w:val="215868" w:themeColor="accent5" w:themeShade="80"/>
          <w:sz w:val="28"/>
          <w:szCs w:val="28"/>
        </w:rPr>
        <w:t>raorçamentárias;</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3</w:t>
      </w:r>
      <w:r>
        <w:rPr>
          <w:rFonts w:ascii="Bahnschrift" w:hAnsi="Bahnschrift" w:cs="Arial"/>
          <w:b/>
          <w:bCs/>
          <w:color w:val="215868" w:themeColor="accent5" w:themeShade="80"/>
          <w:sz w:val="28"/>
          <w:szCs w:val="28"/>
        </w:rPr>
        <w:t>.</w:t>
      </w:r>
      <w:r w:rsidRPr="00AA1243">
        <w:rPr>
          <w:rFonts w:ascii="Bahnschrift" w:hAnsi="Bahnschrift" w:cs="Arial"/>
          <w:b/>
          <w:bCs/>
          <w:color w:val="215868" w:themeColor="accent5" w:themeShade="80"/>
          <w:sz w:val="28"/>
          <w:szCs w:val="28"/>
        </w:rPr>
        <w:t xml:space="preserve"> Utilização do superávit financeiro e da reabertura de créditos especiais e extraordinários</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sidRPr="00AA1243">
        <w:rPr>
          <w:rFonts w:ascii="Bahnschrift" w:hAnsi="Bahnschrift" w:cs="Arial"/>
          <w:b/>
          <w:bCs/>
          <w:color w:val="215868" w:themeColor="accent5" w:themeShade="80"/>
          <w:sz w:val="28"/>
          <w:szCs w:val="28"/>
        </w:rPr>
        <w:t>4</w:t>
      </w:r>
      <w:r>
        <w:rPr>
          <w:rFonts w:ascii="Bahnschrift" w:hAnsi="Bahnschrift" w:cs="Arial"/>
          <w:b/>
          <w:bCs/>
          <w:color w:val="215868" w:themeColor="accent5" w:themeShade="80"/>
          <w:sz w:val="28"/>
          <w:szCs w:val="28"/>
        </w:rPr>
        <w:t>.</w:t>
      </w:r>
      <w:r w:rsidRPr="00AA1243">
        <w:rPr>
          <w:rFonts w:ascii="Bahnschrift" w:hAnsi="Bahnschrift" w:cs="Arial"/>
          <w:b/>
          <w:bCs/>
          <w:color w:val="215868" w:themeColor="accent5" w:themeShade="80"/>
          <w:sz w:val="28"/>
          <w:szCs w:val="28"/>
        </w:rPr>
        <w:t xml:space="preserve"> Detalhamento da execução das despesas</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5. Análise da execução da despesa;</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6. Avaliação d</w:t>
      </w:r>
      <w:r w:rsidRPr="00AA1243">
        <w:rPr>
          <w:rFonts w:ascii="Bahnschrift" w:hAnsi="Bahnschrift" w:cs="Arial"/>
          <w:b/>
          <w:bCs/>
          <w:color w:val="215868" w:themeColor="accent5" w:themeShade="80"/>
          <w:sz w:val="28"/>
          <w:szCs w:val="28"/>
        </w:rPr>
        <w:t>o estoque de restos a paga</w:t>
      </w:r>
      <w:r>
        <w:rPr>
          <w:rFonts w:ascii="Bahnschrift" w:hAnsi="Bahnschrift" w:cs="Arial"/>
          <w:b/>
          <w:bCs/>
          <w:color w:val="215868" w:themeColor="accent5" w:themeShade="80"/>
          <w:sz w:val="28"/>
          <w:szCs w:val="28"/>
        </w:rPr>
        <w:t>r processados e não processados.</w:t>
      </w:r>
    </w:p>
    <w:p w:rsidR="00DC01B3" w:rsidRPr="007E3EDD" w:rsidRDefault="00DC01B3" w:rsidP="00DC01B3">
      <w:pPr>
        <w:spacing w:after="0" w:line="240" w:lineRule="auto"/>
        <w:ind w:left="426" w:hanging="426"/>
        <w:jc w:val="both"/>
        <w:rPr>
          <w:rFonts w:ascii="Bahnschrift" w:hAnsi="Bahnschrift" w:cs="Arial"/>
          <w:b/>
          <w:bCs/>
          <w:color w:val="984806" w:themeColor="accent6" w:themeShade="80"/>
          <w:sz w:val="10"/>
          <w:szCs w:val="10"/>
        </w:rPr>
      </w:pPr>
    </w:p>
    <w:p w:rsidR="00DC01B3" w:rsidRPr="00AA1243" w:rsidRDefault="00DC01B3" w:rsidP="00DC01B3">
      <w:pPr>
        <w:spacing w:after="0" w:line="240" w:lineRule="auto"/>
        <w:ind w:left="426" w:hanging="426"/>
        <w:jc w:val="both"/>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NOTAS EXPLICATIVAS AO BALANÇO PATRIMONIAL</w:t>
      </w:r>
    </w:p>
    <w:p w:rsidR="00DC01B3" w:rsidRPr="001E7AF3" w:rsidRDefault="00DC01B3" w:rsidP="00DC01B3">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7. </w:t>
      </w:r>
      <w:r w:rsidRPr="001E7AF3">
        <w:rPr>
          <w:rFonts w:ascii="Bahnschrift" w:hAnsi="Bahnschrift" w:cs="Arial"/>
          <w:b/>
          <w:bCs/>
          <w:color w:val="215868" w:themeColor="accent5" w:themeShade="80"/>
          <w:sz w:val="28"/>
          <w:szCs w:val="28"/>
        </w:rPr>
        <w:t>Caixa e equivalente de caixa;</w:t>
      </w:r>
    </w:p>
    <w:p w:rsidR="00DC01B3" w:rsidRPr="00AA1243" w:rsidRDefault="00DC01B3" w:rsidP="00DC01B3">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8. </w:t>
      </w:r>
      <w:r w:rsidRPr="00AA1243">
        <w:rPr>
          <w:rFonts w:ascii="Bahnschrift" w:hAnsi="Bahnschrift" w:cs="Arial"/>
          <w:b/>
          <w:bCs/>
          <w:color w:val="215868" w:themeColor="accent5" w:themeShade="80"/>
          <w:sz w:val="28"/>
          <w:szCs w:val="28"/>
        </w:rPr>
        <w:t>Créditos a Curto Prazo e a Longo Prazo</w:t>
      </w:r>
      <w:r>
        <w:rPr>
          <w:rFonts w:ascii="Bahnschrift" w:hAnsi="Bahnschrift" w:cs="Arial"/>
          <w:b/>
          <w:bCs/>
          <w:color w:val="215868" w:themeColor="accent5" w:themeShade="80"/>
          <w:sz w:val="28"/>
          <w:szCs w:val="28"/>
        </w:rPr>
        <w:t>;</w:t>
      </w:r>
    </w:p>
    <w:p w:rsidR="00DC01B3" w:rsidRDefault="00DC01B3" w:rsidP="00DC01B3">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9. </w:t>
      </w:r>
      <w:r w:rsidRPr="00AA1243">
        <w:rPr>
          <w:rFonts w:ascii="Bahnschrift" w:hAnsi="Bahnschrift" w:cs="Arial"/>
          <w:b/>
          <w:bCs/>
          <w:color w:val="215868" w:themeColor="accent5" w:themeShade="80"/>
          <w:sz w:val="28"/>
          <w:szCs w:val="28"/>
        </w:rPr>
        <w:t>Investimentos RPPS</w:t>
      </w:r>
      <w:r>
        <w:rPr>
          <w:rFonts w:ascii="Bahnschrift" w:hAnsi="Bahnschrift" w:cs="Arial"/>
          <w:b/>
          <w:bCs/>
          <w:color w:val="215868" w:themeColor="accent5" w:themeShade="80"/>
          <w:sz w:val="28"/>
          <w:szCs w:val="28"/>
        </w:rPr>
        <w:t>;</w:t>
      </w:r>
    </w:p>
    <w:p w:rsidR="00DC01B3" w:rsidRDefault="00DC01B3" w:rsidP="00DC01B3">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10. </w:t>
      </w:r>
      <w:r w:rsidRPr="001E7AF3">
        <w:rPr>
          <w:rFonts w:ascii="Bahnschrift" w:hAnsi="Bahnschrift" w:cs="Arial"/>
          <w:b/>
          <w:bCs/>
          <w:color w:val="215868" w:themeColor="accent5" w:themeShade="80"/>
          <w:sz w:val="28"/>
          <w:szCs w:val="28"/>
        </w:rPr>
        <w:t>Imobilizado;</w:t>
      </w:r>
    </w:p>
    <w:p w:rsidR="00DC01B3" w:rsidRPr="001E7AF3" w:rsidRDefault="00DC01B3" w:rsidP="00DC01B3">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11. </w:t>
      </w:r>
      <w:r w:rsidRPr="001E7AF3">
        <w:rPr>
          <w:rFonts w:ascii="Bahnschrift" w:hAnsi="Bahnschrift" w:cs="Arial"/>
          <w:b/>
          <w:bCs/>
          <w:color w:val="215868" w:themeColor="accent5" w:themeShade="80"/>
          <w:sz w:val="28"/>
          <w:szCs w:val="28"/>
        </w:rPr>
        <w:t>Intangível;</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12. </w:t>
      </w:r>
      <w:r w:rsidRPr="00AA1243">
        <w:rPr>
          <w:rFonts w:ascii="Bahnschrift" w:hAnsi="Bahnschrift" w:cs="Arial"/>
          <w:b/>
          <w:bCs/>
          <w:color w:val="215868" w:themeColor="accent5" w:themeShade="80"/>
          <w:sz w:val="28"/>
          <w:szCs w:val="28"/>
        </w:rPr>
        <w:t>Fornecedores</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13. </w:t>
      </w:r>
      <w:r w:rsidRPr="00AA1243">
        <w:rPr>
          <w:rFonts w:ascii="Bahnschrift" w:hAnsi="Bahnschrift" w:cs="Arial"/>
          <w:b/>
          <w:bCs/>
          <w:color w:val="215868" w:themeColor="accent5" w:themeShade="80"/>
          <w:sz w:val="28"/>
          <w:szCs w:val="28"/>
        </w:rPr>
        <w:t>Obrigações Trabalhistas, Previdenciárias e Assistenciais a Curto Prazo e a Longo Prazo</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14. </w:t>
      </w:r>
      <w:r w:rsidRPr="00AA1243">
        <w:rPr>
          <w:rFonts w:ascii="Bahnschrift" w:hAnsi="Bahnschrift" w:cs="Arial"/>
          <w:b/>
          <w:bCs/>
          <w:color w:val="215868" w:themeColor="accent5" w:themeShade="80"/>
          <w:sz w:val="28"/>
          <w:szCs w:val="28"/>
        </w:rPr>
        <w:t>Provisões a Curto Prazo e a Longo Prazo</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15. Demais elementos patrimoniais</w:t>
      </w:r>
      <w:r w:rsidRPr="00AA1243">
        <w:rPr>
          <w:rFonts w:ascii="Bahnschrift" w:hAnsi="Bahnschrift" w:cs="Arial"/>
          <w:b/>
          <w:bCs/>
          <w:color w:val="215868" w:themeColor="accent5" w:themeShade="80"/>
          <w:sz w:val="28"/>
          <w:szCs w:val="28"/>
        </w:rPr>
        <w:t>.</w:t>
      </w:r>
    </w:p>
    <w:p w:rsidR="00DC01B3" w:rsidRPr="007E3EDD" w:rsidRDefault="00DC01B3" w:rsidP="00DC01B3">
      <w:pPr>
        <w:spacing w:after="0" w:line="240" w:lineRule="auto"/>
        <w:ind w:left="426" w:hanging="426"/>
        <w:jc w:val="both"/>
        <w:rPr>
          <w:rFonts w:ascii="Bahnschrift" w:hAnsi="Bahnschrift" w:cs="Arial"/>
          <w:b/>
          <w:bCs/>
          <w:color w:val="984806" w:themeColor="accent6" w:themeShade="80"/>
          <w:sz w:val="10"/>
          <w:szCs w:val="10"/>
        </w:rPr>
      </w:pPr>
    </w:p>
    <w:p w:rsidR="00DC01B3" w:rsidRPr="00AA1243" w:rsidRDefault="00DC01B3" w:rsidP="00DC01B3">
      <w:pPr>
        <w:spacing w:after="0" w:line="240" w:lineRule="auto"/>
        <w:ind w:left="426" w:hanging="426"/>
        <w:jc w:val="both"/>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NOTAS EXPLICATIVAS À DEMONSTRAÇÃO DAS VARIAÇÕES PATRIMONIAIS</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16. </w:t>
      </w:r>
      <w:r w:rsidRPr="00AA1243">
        <w:rPr>
          <w:rFonts w:ascii="Bahnschrift" w:hAnsi="Bahnschrift" w:cs="Arial"/>
          <w:b/>
          <w:bCs/>
          <w:color w:val="215868" w:themeColor="accent5" w:themeShade="80"/>
          <w:sz w:val="28"/>
          <w:szCs w:val="28"/>
        </w:rPr>
        <w:t>Redução ao valor recuperável no ativo imobilizado</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17. </w:t>
      </w:r>
      <w:r w:rsidRPr="00AA1243">
        <w:rPr>
          <w:rFonts w:ascii="Bahnschrift" w:hAnsi="Bahnschrift" w:cs="Arial"/>
          <w:b/>
          <w:bCs/>
          <w:color w:val="215868" w:themeColor="accent5" w:themeShade="80"/>
          <w:sz w:val="28"/>
          <w:szCs w:val="28"/>
        </w:rPr>
        <w:t>Baixas de investimento</w:t>
      </w:r>
      <w:r>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18. </w:t>
      </w:r>
      <w:r w:rsidRPr="00AA1243">
        <w:rPr>
          <w:rFonts w:ascii="Bahnschrift" w:hAnsi="Bahnschrift" w:cs="Arial"/>
          <w:b/>
          <w:bCs/>
          <w:color w:val="215868" w:themeColor="accent5" w:themeShade="80"/>
          <w:sz w:val="28"/>
          <w:szCs w:val="28"/>
        </w:rPr>
        <w:t>Consti</w:t>
      </w:r>
      <w:r>
        <w:rPr>
          <w:rFonts w:ascii="Bahnschrift" w:hAnsi="Bahnschrift" w:cs="Arial"/>
          <w:b/>
          <w:bCs/>
          <w:color w:val="215868" w:themeColor="accent5" w:themeShade="80"/>
          <w:sz w:val="28"/>
          <w:szCs w:val="28"/>
        </w:rPr>
        <w:t>tuição ou reversão de provisões;</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 xml:space="preserve">19. </w:t>
      </w:r>
      <w:r w:rsidRPr="00AA1243">
        <w:rPr>
          <w:rFonts w:ascii="Bahnschrift" w:hAnsi="Bahnschrift" w:cs="Arial"/>
          <w:b/>
          <w:bCs/>
          <w:color w:val="215868" w:themeColor="accent5" w:themeShade="80"/>
          <w:sz w:val="28"/>
          <w:szCs w:val="28"/>
        </w:rPr>
        <w:t>Dema</w:t>
      </w:r>
      <w:r>
        <w:rPr>
          <w:rFonts w:ascii="Bahnschrift" w:hAnsi="Bahnschrift" w:cs="Arial"/>
          <w:b/>
          <w:bCs/>
          <w:color w:val="215868" w:themeColor="accent5" w:themeShade="80"/>
          <w:sz w:val="28"/>
          <w:szCs w:val="28"/>
        </w:rPr>
        <w:t>is variações, quando relevantes;</w:t>
      </w:r>
    </w:p>
    <w:p w:rsidR="00DC01B3" w:rsidRPr="00890CB8" w:rsidRDefault="00DC01B3" w:rsidP="00DC01B3">
      <w:pPr>
        <w:spacing w:after="0" w:line="240" w:lineRule="auto"/>
        <w:ind w:left="426" w:hanging="426"/>
        <w:rPr>
          <w:rFonts w:ascii="Bahnschrift" w:hAnsi="Bahnschrift" w:cs="Arial"/>
          <w:b/>
          <w:bCs/>
          <w:color w:val="984806" w:themeColor="accent6" w:themeShade="80"/>
          <w:sz w:val="10"/>
          <w:szCs w:val="10"/>
        </w:rPr>
      </w:pPr>
    </w:p>
    <w:p w:rsidR="00DC01B3" w:rsidRPr="00AA1243" w:rsidRDefault="00DC01B3" w:rsidP="00DC01B3">
      <w:pPr>
        <w:spacing w:after="0" w:line="240" w:lineRule="auto"/>
        <w:ind w:left="426" w:hanging="426"/>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NOTAS EXPLICATIVAS AO BALANÇO FINANCEIRO</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20.</w:t>
      </w:r>
      <w:r w:rsidRPr="00AA1243">
        <w:rPr>
          <w:rFonts w:ascii="Bahnschrift" w:hAnsi="Bahnschrift" w:cs="Arial"/>
          <w:b/>
          <w:bCs/>
          <w:color w:val="215868" w:themeColor="accent5" w:themeShade="80"/>
          <w:sz w:val="28"/>
          <w:szCs w:val="28"/>
        </w:rPr>
        <w:t xml:space="preserve"> Transferências Fina</w:t>
      </w:r>
      <w:r>
        <w:rPr>
          <w:rFonts w:ascii="Bahnschrift" w:hAnsi="Bahnschrift" w:cs="Arial"/>
          <w:b/>
          <w:bCs/>
          <w:color w:val="215868" w:themeColor="accent5" w:themeShade="80"/>
          <w:sz w:val="28"/>
          <w:szCs w:val="28"/>
        </w:rPr>
        <w:t>nceiras Recebidas e Concedidas</w:t>
      </w:r>
      <w:r w:rsidRPr="00AA1243">
        <w:rPr>
          <w:rFonts w:ascii="Bahnschrift" w:hAnsi="Bahnschrift" w:cs="Arial"/>
          <w:b/>
          <w:bCs/>
          <w:color w:val="215868" w:themeColor="accent5" w:themeShade="80"/>
          <w:sz w:val="28"/>
          <w:szCs w:val="28"/>
        </w:rPr>
        <w:t>;</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w:t>
      </w:r>
      <w:r w:rsidRPr="00AA1243">
        <w:rPr>
          <w:rFonts w:ascii="Bahnschrift" w:hAnsi="Bahnschrift" w:cs="Arial"/>
          <w:b/>
          <w:bCs/>
          <w:color w:val="215868" w:themeColor="accent5" w:themeShade="80"/>
          <w:sz w:val="28"/>
          <w:szCs w:val="28"/>
        </w:rPr>
        <w:t xml:space="preserve"> Retenções tributárias;</w:t>
      </w:r>
    </w:p>
    <w:p w:rsidR="00DC01B3" w:rsidRPr="00AA1243"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w:t>
      </w:r>
      <w:r w:rsidRPr="00AA1243">
        <w:rPr>
          <w:rFonts w:ascii="Bahnschrift" w:hAnsi="Bahnschrift" w:cs="Arial"/>
          <w:b/>
          <w:bCs/>
          <w:color w:val="215868" w:themeColor="accent5" w:themeShade="80"/>
          <w:sz w:val="28"/>
          <w:szCs w:val="28"/>
        </w:rPr>
        <w:t xml:space="preserve"> Restos a pagar processados e não processados.</w:t>
      </w:r>
    </w:p>
    <w:p w:rsidR="00DC01B3" w:rsidRPr="007E3EDD" w:rsidRDefault="00DC01B3" w:rsidP="00DC01B3">
      <w:pPr>
        <w:spacing w:after="0" w:line="240" w:lineRule="auto"/>
        <w:ind w:left="426" w:hanging="426"/>
        <w:rPr>
          <w:rFonts w:ascii="Bahnschrift" w:hAnsi="Bahnschrift" w:cs="Arial"/>
          <w:b/>
          <w:bCs/>
          <w:color w:val="984806" w:themeColor="accent6" w:themeShade="80"/>
          <w:sz w:val="10"/>
          <w:szCs w:val="10"/>
        </w:rPr>
      </w:pPr>
    </w:p>
    <w:p w:rsidR="00DC01B3" w:rsidRPr="00AA1243" w:rsidRDefault="00DC01B3" w:rsidP="00DC01B3">
      <w:pPr>
        <w:spacing w:after="0" w:line="240" w:lineRule="auto"/>
        <w:ind w:left="426" w:hanging="426"/>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NOTAS EXPLICATIVAS À DEMONSTRAÇÃO DOS FLUXOS DE CAIXA</w:t>
      </w:r>
    </w:p>
    <w:p w:rsidR="00DC01B3" w:rsidRPr="00803186" w:rsidRDefault="00DC01B3" w:rsidP="00DC01B3">
      <w:pPr>
        <w:spacing w:after="0" w:line="240" w:lineRule="auto"/>
        <w:ind w:left="426" w:hanging="426"/>
        <w:jc w:val="both"/>
        <w:rPr>
          <w:rFonts w:ascii="Bahnschrift" w:hAnsi="Bahnschrift" w:cs="Arial"/>
          <w:b/>
          <w:bCs/>
          <w:color w:val="215868" w:themeColor="accent5" w:themeShade="80"/>
          <w:sz w:val="28"/>
          <w:szCs w:val="28"/>
        </w:rPr>
      </w:pPr>
      <w:r w:rsidRPr="00803186">
        <w:rPr>
          <w:rFonts w:ascii="Bahnschrift" w:hAnsi="Bahnschrift" w:cs="Arial"/>
          <w:b/>
          <w:bCs/>
          <w:color w:val="215868" w:themeColor="accent5" w:themeShade="80"/>
          <w:sz w:val="28"/>
          <w:szCs w:val="28"/>
        </w:rPr>
        <w:t>2</w:t>
      </w:r>
      <w:r>
        <w:rPr>
          <w:rFonts w:ascii="Bahnschrift" w:hAnsi="Bahnschrift" w:cs="Arial"/>
          <w:b/>
          <w:bCs/>
          <w:color w:val="215868" w:themeColor="accent5" w:themeShade="80"/>
          <w:sz w:val="28"/>
          <w:szCs w:val="28"/>
        </w:rPr>
        <w:t>3</w:t>
      </w:r>
      <w:r w:rsidRPr="00803186">
        <w:rPr>
          <w:rFonts w:ascii="Bahnschrift" w:hAnsi="Bahnschrift" w:cs="Arial"/>
          <w:b/>
          <w:bCs/>
          <w:color w:val="215868" w:themeColor="accent5" w:themeShade="80"/>
          <w:sz w:val="28"/>
          <w:szCs w:val="28"/>
        </w:rPr>
        <w:t>. Análise Horizontal do Fluxo de Caixa das Atividades Operacionais</w:t>
      </w:r>
    </w:p>
    <w:p w:rsidR="00DC01B3" w:rsidRPr="00803186" w:rsidRDefault="00DC01B3" w:rsidP="00DC01B3">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lastRenderedPageBreak/>
        <w:t>24</w:t>
      </w:r>
      <w:r w:rsidRPr="00803186">
        <w:rPr>
          <w:rFonts w:ascii="Bahnschrift" w:hAnsi="Bahnschrift" w:cs="Arial"/>
          <w:b/>
          <w:bCs/>
          <w:color w:val="215868" w:themeColor="accent5" w:themeShade="80"/>
          <w:sz w:val="28"/>
          <w:szCs w:val="28"/>
        </w:rPr>
        <w:t>. Análise Horizontal do Fluxo de Caixa das Atividades de Investimento</w:t>
      </w:r>
    </w:p>
    <w:p w:rsidR="00DC01B3" w:rsidRDefault="00DC01B3" w:rsidP="00DC01B3">
      <w:pPr>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r>
        <w:rPr>
          <w:rFonts w:ascii="Bahnschrift" w:hAnsi="Bahnschrift" w:cs="Arial"/>
          <w:b/>
          <w:bCs/>
          <w:color w:val="215868" w:themeColor="accent5" w:themeShade="80"/>
          <w:sz w:val="28"/>
          <w:szCs w:val="28"/>
        </w:rPr>
        <w:t>25</w:t>
      </w:r>
      <w:r w:rsidRPr="00803186">
        <w:rPr>
          <w:rFonts w:ascii="Bahnschrift" w:hAnsi="Bahnschrift" w:cs="Arial"/>
          <w:b/>
          <w:bCs/>
          <w:color w:val="215868" w:themeColor="accent5" w:themeShade="80"/>
          <w:sz w:val="28"/>
          <w:szCs w:val="28"/>
        </w:rPr>
        <w:t>. Análise Horizontal do Fluxo de Caixa das Atividades de financiamento</w:t>
      </w:r>
    </w:p>
    <w:p w:rsidR="00DC01B3" w:rsidRPr="007E3EDD" w:rsidRDefault="00DC01B3" w:rsidP="00DC01B3">
      <w:pPr>
        <w:autoSpaceDE w:val="0"/>
        <w:autoSpaceDN w:val="0"/>
        <w:adjustRightInd w:val="0"/>
        <w:spacing w:after="0" w:line="240" w:lineRule="auto"/>
        <w:ind w:left="426" w:hanging="426"/>
        <w:jc w:val="both"/>
        <w:rPr>
          <w:rFonts w:ascii="Bahnschrift" w:hAnsi="Bahnschrift" w:cs="Arial"/>
          <w:b/>
          <w:bCs/>
          <w:color w:val="984806" w:themeColor="accent6" w:themeShade="80"/>
          <w:sz w:val="10"/>
          <w:szCs w:val="10"/>
        </w:rPr>
      </w:pP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sidRPr="00AA1243">
        <w:rPr>
          <w:rFonts w:ascii="Bahnschrift" w:hAnsi="Bahnschrift" w:cs="Arial"/>
          <w:b/>
          <w:bCs/>
          <w:color w:val="984806" w:themeColor="accent6" w:themeShade="80"/>
          <w:sz w:val="28"/>
          <w:szCs w:val="28"/>
        </w:rPr>
        <w:t>NOTAS EXPLICATIVAS À DEMONSTRAÇÃO DAS MUTAÇÕES DO PATRIMÔNIO LÍQUIDO</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26</w:t>
      </w:r>
      <w:r w:rsidRPr="00AA1243">
        <w:rPr>
          <w:rFonts w:ascii="Bahnschrift" w:hAnsi="Bahnschrift" w:cs="Arial"/>
          <w:b/>
          <w:bCs/>
          <w:color w:val="215868" w:themeColor="accent5" w:themeShade="80"/>
          <w:sz w:val="28"/>
          <w:szCs w:val="28"/>
        </w:rPr>
        <w:t xml:space="preserve"> Capital/Patrimônio Social</w:t>
      </w:r>
      <w:r>
        <w:rPr>
          <w:rFonts w:ascii="Bahnschrift" w:hAnsi="Bahnschrift" w:cs="Arial"/>
          <w:b/>
          <w:bCs/>
          <w:color w:val="215868" w:themeColor="accent5" w:themeShade="80"/>
          <w:sz w:val="28"/>
          <w:szCs w:val="28"/>
        </w:rPr>
        <w:t>;</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27</w:t>
      </w:r>
      <w:r w:rsidRPr="00AA1243">
        <w:rPr>
          <w:rFonts w:ascii="Bahnschrift" w:hAnsi="Bahnschrift" w:cs="Arial"/>
          <w:b/>
          <w:bCs/>
          <w:color w:val="215868" w:themeColor="accent5" w:themeShade="80"/>
          <w:sz w:val="28"/>
          <w:szCs w:val="28"/>
        </w:rPr>
        <w:t xml:space="preserve"> Resultados Acumulados</w:t>
      </w:r>
      <w:r>
        <w:rPr>
          <w:rFonts w:ascii="Bahnschrift" w:hAnsi="Bahnschrift" w:cs="Arial"/>
          <w:b/>
          <w:bCs/>
          <w:color w:val="215868" w:themeColor="accent5" w:themeShade="80"/>
          <w:sz w:val="28"/>
          <w:szCs w:val="28"/>
        </w:rPr>
        <w:t>;</w:t>
      </w:r>
    </w:p>
    <w:p w:rsidR="00DC01B3" w:rsidRPr="00AA124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28</w:t>
      </w:r>
      <w:r w:rsidRPr="00AA1243">
        <w:rPr>
          <w:rFonts w:ascii="Bahnschrift" w:hAnsi="Bahnschrift" w:cs="Arial"/>
          <w:b/>
          <w:bCs/>
          <w:color w:val="215868" w:themeColor="accent5" w:themeShade="80"/>
          <w:sz w:val="28"/>
          <w:szCs w:val="28"/>
        </w:rPr>
        <w:t xml:space="preserve"> Ajustes dos exercícios anteriores</w:t>
      </w:r>
      <w:r>
        <w:rPr>
          <w:rFonts w:ascii="Bahnschrift" w:hAnsi="Bahnschrift" w:cs="Arial"/>
          <w:b/>
          <w:bCs/>
          <w:color w:val="215868" w:themeColor="accent5" w:themeShade="80"/>
          <w:sz w:val="28"/>
          <w:szCs w:val="28"/>
        </w:rPr>
        <w:t>;</w:t>
      </w:r>
    </w:p>
    <w:p w:rsidR="00DC01B3" w:rsidRDefault="00DC01B3" w:rsidP="00DC01B3">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29</w:t>
      </w:r>
      <w:r w:rsidRPr="00AA1243">
        <w:rPr>
          <w:rFonts w:ascii="Bahnschrift" w:hAnsi="Bahnschrift" w:cs="Arial"/>
          <w:b/>
          <w:bCs/>
          <w:color w:val="215868" w:themeColor="accent5" w:themeShade="80"/>
          <w:sz w:val="28"/>
          <w:szCs w:val="28"/>
        </w:rPr>
        <w:t xml:space="preserve"> Ajustes de avaliação patrimonial.</w:t>
      </w:r>
    </w:p>
    <w:p w:rsidR="00DC01B3" w:rsidRPr="007E3EDD" w:rsidRDefault="00DC01B3" w:rsidP="00DC01B3">
      <w:pPr>
        <w:autoSpaceDE w:val="0"/>
        <w:autoSpaceDN w:val="0"/>
        <w:adjustRightInd w:val="0"/>
        <w:spacing w:after="0" w:line="240" w:lineRule="auto"/>
        <w:ind w:left="426" w:hanging="426"/>
        <w:rPr>
          <w:rFonts w:ascii="Bahnschrift" w:hAnsi="Bahnschrift" w:cs="Arial"/>
          <w:b/>
          <w:bCs/>
          <w:sz w:val="28"/>
          <w:szCs w:val="28"/>
          <w:lang w:val="es-ES_tradnl"/>
        </w:rPr>
      </w:pPr>
      <w:r w:rsidRPr="007E3EDD">
        <w:rPr>
          <w:rFonts w:ascii="Bahnschrift" w:hAnsi="Bahnschrift" w:cs="Arial"/>
          <w:b/>
          <w:bCs/>
          <w:sz w:val="28"/>
          <w:szCs w:val="28"/>
          <w:lang w:val="es-ES_tradnl"/>
        </w:rPr>
        <w:t>CONSIDERAÇÕES FINAIS</w:t>
      </w:r>
    </w:p>
    <w:p w:rsidR="004F6719" w:rsidRDefault="004F6719" w:rsidP="00AC2E48">
      <w:pPr>
        <w:autoSpaceDE w:val="0"/>
        <w:autoSpaceDN w:val="0"/>
        <w:adjustRightInd w:val="0"/>
        <w:spacing w:line="240" w:lineRule="auto"/>
        <w:jc w:val="right"/>
        <w:rPr>
          <w:rFonts w:ascii="Bahnschrift" w:hAnsi="Bahnschrift" w:cs="Arial"/>
          <w:b/>
          <w:color w:val="C00000"/>
          <w:sz w:val="52"/>
          <w:szCs w:val="52"/>
        </w:rPr>
      </w:pPr>
    </w:p>
    <w:p w:rsidR="006A53A6" w:rsidRDefault="006A53A6" w:rsidP="00AC2E48">
      <w:pPr>
        <w:autoSpaceDE w:val="0"/>
        <w:autoSpaceDN w:val="0"/>
        <w:adjustRightInd w:val="0"/>
        <w:spacing w:line="240" w:lineRule="auto"/>
        <w:jc w:val="right"/>
        <w:rPr>
          <w:rFonts w:ascii="Bahnschrift" w:hAnsi="Bahnschrift" w:cs="Arial"/>
          <w:b/>
          <w:color w:val="C00000"/>
          <w:sz w:val="52"/>
          <w:szCs w:val="52"/>
        </w:rPr>
      </w:pPr>
    </w:p>
    <w:p w:rsidR="006A53A6" w:rsidRDefault="006A53A6" w:rsidP="00AC2E48">
      <w:pPr>
        <w:autoSpaceDE w:val="0"/>
        <w:autoSpaceDN w:val="0"/>
        <w:adjustRightInd w:val="0"/>
        <w:spacing w:line="240" w:lineRule="auto"/>
        <w:jc w:val="right"/>
        <w:rPr>
          <w:rFonts w:ascii="Bahnschrift" w:hAnsi="Bahnschrift" w:cs="Arial"/>
          <w:b/>
          <w:color w:val="C00000"/>
          <w:sz w:val="52"/>
          <w:szCs w:val="52"/>
        </w:rPr>
      </w:pPr>
    </w:p>
    <w:p w:rsidR="006A53A6" w:rsidRDefault="006A53A6" w:rsidP="00AC2E48">
      <w:pPr>
        <w:autoSpaceDE w:val="0"/>
        <w:autoSpaceDN w:val="0"/>
        <w:adjustRightInd w:val="0"/>
        <w:spacing w:line="240" w:lineRule="auto"/>
        <w:jc w:val="right"/>
        <w:rPr>
          <w:rFonts w:ascii="Bahnschrift" w:hAnsi="Bahnschrift" w:cs="Arial"/>
          <w:b/>
          <w:color w:val="C00000"/>
          <w:sz w:val="52"/>
          <w:szCs w:val="52"/>
        </w:rPr>
      </w:pPr>
    </w:p>
    <w:p w:rsidR="006A53A6" w:rsidRDefault="006A53A6" w:rsidP="00AC2E48">
      <w:pPr>
        <w:autoSpaceDE w:val="0"/>
        <w:autoSpaceDN w:val="0"/>
        <w:adjustRightInd w:val="0"/>
        <w:spacing w:line="240" w:lineRule="auto"/>
        <w:jc w:val="right"/>
        <w:rPr>
          <w:rFonts w:ascii="Bahnschrift" w:hAnsi="Bahnschrift" w:cs="Arial"/>
          <w:b/>
          <w:color w:val="C00000"/>
          <w:sz w:val="52"/>
          <w:szCs w:val="52"/>
        </w:rPr>
      </w:pPr>
    </w:p>
    <w:p w:rsidR="006A53A6" w:rsidRDefault="006A53A6" w:rsidP="00AC2E48">
      <w:pPr>
        <w:autoSpaceDE w:val="0"/>
        <w:autoSpaceDN w:val="0"/>
        <w:adjustRightInd w:val="0"/>
        <w:spacing w:line="240" w:lineRule="auto"/>
        <w:jc w:val="right"/>
        <w:rPr>
          <w:rFonts w:ascii="Bahnschrift" w:hAnsi="Bahnschrift" w:cs="Arial"/>
          <w:b/>
          <w:color w:val="C00000"/>
          <w:sz w:val="52"/>
          <w:szCs w:val="52"/>
        </w:rPr>
      </w:pPr>
    </w:p>
    <w:p w:rsidR="006A53A6" w:rsidRDefault="006A53A6" w:rsidP="00AC2E48">
      <w:pPr>
        <w:autoSpaceDE w:val="0"/>
        <w:autoSpaceDN w:val="0"/>
        <w:adjustRightInd w:val="0"/>
        <w:spacing w:line="240" w:lineRule="auto"/>
        <w:jc w:val="right"/>
        <w:rPr>
          <w:rFonts w:ascii="Bahnschrift" w:hAnsi="Bahnschrift" w:cs="Arial"/>
          <w:b/>
          <w:color w:val="C00000"/>
          <w:sz w:val="52"/>
          <w:szCs w:val="52"/>
        </w:rPr>
      </w:pPr>
    </w:p>
    <w:p w:rsidR="006A53A6" w:rsidRDefault="006A53A6" w:rsidP="00AC2E48">
      <w:pPr>
        <w:autoSpaceDE w:val="0"/>
        <w:autoSpaceDN w:val="0"/>
        <w:adjustRightInd w:val="0"/>
        <w:spacing w:line="240" w:lineRule="auto"/>
        <w:jc w:val="right"/>
        <w:rPr>
          <w:rFonts w:ascii="Bahnschrift" w:hAnsi="Bahnschrift" w:cs="Arial"/>
          <w:b/>
          <w:color w:val="C00000"/>
          <w:sz w:val="52"/>
          <w:szCs w:val="52"/>
        </w:rPr>
      </w:pPr>
    </w:p>
    <w:p w:rsidR="006A53A6" w:rsidRDefault="006A53A6" w:rsidP="00AC2E48">
      <w:pPr>
        <w:autoSpaceDE w:val="0"/>
        <w:autoSpaceDN w:val="0"/>
        <w:adjustRightInd w:val="0"/>
        <w:spacing w:line="240" w:lineRule="auto"/>
        <w:jc w:val="right"/>
        <w:rPr>
          <w:rFonts w:ascii="Bahnschrift" w:hAnsi="Bahnschrift" w:cs="Arial"/>
          <w:b/>
          <w:color w:val="C00000"/>
          <w:sz w:val="52"/>
          <w:szCs w:val="52"/>
        </w:rPr>
      </w:pPr>
    </w:p>
    <w:p w:rsidR="006A53A6" w:rsidRDefault="006A53A6" w:rsidP="00AC2E48">
      <w:pPr>
        <w:autoSpaceDE w:val="0"/>
        <w:autoSpaceDN w:val="0"/>
        <w:adjustRightInd w:val="0"/>
        <w:spacing w:line="240" w:lineRule="auto"/>
        <w:jc w:val="right"/>
        <w:rPr>
          <w:rFonts w:ascii="Bahnschrift" w:hAnsi="Bahnschrift" w:cs="Arial"/>
          <w:b/>
          <w:color w:val="C00000"/>
          <w:sz w:val="52"/>
          <w:szCs w:val="52"/>
        </w:rPr>
      </w:pPr>
    </w:p>
    <w:p w:rsidR="00AC2E48" w:rsidRPr="00F93DDE" w:rsidRDefault="00B27680" w:rsidP="006A53A6">
      <w:pPr>
        <w:autoSpaceDE w:val="0"/>
        <w:autoSpaceDN w:val="0"/>
        <w:adjustRightInd w:val="0"/>
        <w:spacing w:line="240" w:lineRule="auto"/>
        <w:jc w:val="right"/>
        <w:rPr>
          <w:rFonts w:ascii="Bahnschrift" w:hAnsi="Bahnschrift" w:cs="Arial"/>
          <w:b/>
          <w:color w:val="000000" w:themeColor="text1"/>
          <w:sz w:val="44"/>
          <w:szCs w:val="40"/>
        </w:rPr>
      </w:pPr>
      <w:r w:rsidRPr="00F93DDE">
        <w:rPr>
          <w:rFonts w:ascii="Bahnschrift" w:hAnsi="Bahnschrift" w:cs="Arial"/>
          <w:b/>
          <w:color w:val="000000" w:themeColor="text1"/>
          <w:sz w:val="44"/>
          <w:szCs w:val="40"/>
        </w:rPr>
        <w:t>APRESENTAÇÃO DAS NOTAS</w:t>
      </w:r>
      <w:r w:rsidR="004F6719" w:rsidRPr="00F93DDE">
        <w:rPr>
          <w:rFonts w:ascii="Bahnschrift" w:hAnsi="Bahnschrift" w:cs="Arial"/>
          <w:b/>
          <w:color w:val="000000" w:themeColor="text1"/>
          <w:sz w:val="44"/>
          <w:szCs w:val="40"/>
        </w:rPr>
        <w:t xml:space="preserve"> </w:t>
      </w:r>
      <w:r w:rsidRPr="00F93DDE">
        <w:rPr>
          <w:rFonts w:ascii="Bahnschrift" w:hAnsi="Bahnschrift" w:cs="Arial"/>
          <w:b/>
          <w:color w:val="000000" w:themeColor="text1"/>
          <w:sz w:val="44"/>
          <w:szCs w:val="40"/>
        </w:rPr>
        <w:t>EXPLICATIVAS</w:t>
      </w:r>
    </w:p>
    <w:p w:rsidR="00DC01B3" w:rsidRDefault="00DC01B3" w:rsidP="00807064">
      <w:pPr>
        <w:autoSpaceDE w:val="0"/>
        <w:autoSpaceDN w:val="0"/>
        <w:adjustRightInd w:val="0"/>
        <w:spacing w:after="0" w:line="240" w:lineRule="auto"/>
        <w:rPr>
          <w:rFonts w:ascii="Arial" w:hAnsi="Arial" w:cs="Arial"/>
          <w:b/>
          <w:bCs/>
          <w:color w:val="215868" w:themeColor="accent5" w:themeShade="80"/>
          <w:sz w:val="44"/>
          <w:szCs w:val="44"/>
        </w:rPr>
      </w:pPr>
    </w:p>
    <w:p w:rsidR="00DC01B3" w:rsidRDefault="005F537A" w:rsidP="00DC01B3">
      <w:pPr>
        <w:autoSpaceDE w:val="0"/>
        <w:autoSpaceDN w:val="0"/>
        <w:adjustRightInd w:val="0"/>
        <w:spacing w:after="0" w:line="240" w:lineRule="auto"/>
        <w:ind w:left="2268"/>
        <w:jc w:val="both"/>
        <w:rPr>
          <w:rFonts w:ascii="Segoe Script" w:hAnsi="Segoe Script" w:cs="Arial"/>
          <w:b/>
          <w:bCs/>
          <w:i/>
          <w:color w:val="E36C0A" w:themeColor="accent6" w:themeShade="BF"/>
          <w:sz w:val="40"/>
          <w:szCs w:val="40"/>
        </w:rPr>
      </w:pPr>
      <w:r>
        <w:rPr>
          <w:rFonts w:ascii="Segoe Script" w:hAnsi="Segoe Script" w:cs="Arial"/>
          <w:b/>
          <w:bCs/>
          <w:i/>
          <w:color w:val="E36C0A" w:themeColor="accent6" w:themeShade="BF"/>
          <w:sz w:val="40"/>
          <w:szCs w:val="40"/>
        </w:rPr>
        <w:t>Em 2019 o Município de Santa Terezinha do Progresso</w:t>
      </w:r>
      <w:r w:rsidR="00DC01B3">
        <w:rPr>
          <w:rFonts w:ascii="Segoe Script" w:hAnsi="Segoe Script" w:cs="Arial"/>
          <w:b/>
          <w:bCs/>
          <w:i/>
          <w:color w:val="E36C0A" w:themeColor="accent6" w:themeShade="BF"/>
          <w:sz w:val="40"/>
          <w:szCs w:val="40"/>
        </w:rPr>
        <w:t xml:space="preserve"> completou 24 anos de emancipação.</w:t>
      </w:r>
    </w:p>
    <w:p w:rsidR="00DC01B3" w:rsidRDefault="00DC01B3"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DC01B3" w:rsidRDefault="00DC01B3"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8A3226" w:rsidRPr="0093664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1 INFORMAÇÕES GERAIS</w:t>
      </w:r>
    </w:p>
    <w:p w:rsidR="00AC2E48"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9E120F" w:rsidRPr="009E120F" w:rsidRDefault="009E120F" w:rsidP="00807064">
      <w:pPr>
        <w:autoSpaceDE w:val="0"/>
        <w:autoSpaceDN w:val="0"/>
        <w:adjustRightInd w:val="0"/>
        <w:spacing w:after="0" w:line="240" w:lineRule="auto"/>
        <w:rPr>
          <w:rFonts w:ascii="Arial" w:hAnsi="Arial" w:cs="Arial"/>
          <w:b/>
          <w:bCs/>
          <w:color w:val="FF0000"/>
          <w:sz w:val="24"/>
          <w:szCs w:val="24"/>
        </w:rPr>
      </w:pPr>
      <w:r w:rsidRPr="006A53A6">
        <w:rPr>
          <w:rFonts w:ascii="Arial" w:hAnsi="Arial" w:cs="Arial"/>
          <w:b/>
          <w:bCs/>
          <w:color w:val="215868" w:themeColor="accent5" w:themeShade="80"/>
          <w:sz w:val="24"/>
          <w:szCs w:val="24"/>
        </w:rPr>
        <w:t>Secretário de Saúde:</w:t>
      </w:r>
      <w:r w:rsidR="006A53A6">
        <w:rPr>
          <w:rFonts w:ascii="Arial" w:hAnsi="Arial" w:cs="Arial"/>
          <w:b/>
          <w:bCs/>
          <w:color w:val="FF0000"/>
          <w:sz w:val="24"/>
          <w:szCs w:val="24"/>
        </w:rPr>
        <w:t xml:space="preserve"> </w:t>
      </w:r>
      <w:proofErr w:type="spellStart"/>
      <w:r w:rsidR="006A53A6" w:rsidRPr="006A53A6">
        <w:rPr>
          <w:rFonts w:ascii="Arial" w:hAnsi="Arial" w:cs="Arial"/>
          <w:bCs/>
          <w:sz w:val="24"/>
          <w:szCs w:val="24"/>
        </w:rPr>
        <w:t>Janir</w:t>
      </w:r>
      <w:proofErr w:type="spellEnd"/>
      <w:r w:rsidR="006A53A6" w:rsidRPr="006A53A6">
        <w:rPr>
          <w:rFonts w:ascii="Arial" w:hAnsi="Arial" w:cs="Arial"/>
          <w:bCs/>
          <w:sz w:val="24"/>
          <w:szCs w:val="24"/>
        </w:rPr>
        <w:t xml:space="preserve"> Luiz Bach</w:t>
      </w:r>
    </w:p>
    <w:p w:rsidR="00BD7B22" w:rsidRDefault="00BD7B22" w:rsidP="00BD7B22">
      <w:pPr>
        <w:spacing w:after="0" w:line="240" w:lineRule="auto"/>
        <w:rPr>
          <w:rFonts w:ascii="Arial" w:hAnsi="Arial" w:cs="Arial"/>
          <w:bCs/>
          <w:sz w:val="24"/>
          <w:szCs w:val="24"/>
        </w:rPr>
      </w:pPr>
      <w:r>
        <w:rPr>
          <w:rFonts w:ascii="Arial" w:hAnsi="Arial" w:cs="Arial"/>
          <w:b/>
          <w:bCs/>
          <w:color w:val="215868" w:themeColor="accent5" w:themeShade="80"/>
          <w:sz w:val="24"/>
          <w:szCs w:val="24"/>
        </w:rPr>
        <w:t xml:space="preserve">Prefeito(a): </w:t>
      </w:r>
      <w:proofErr w:type="spellStart"/>
      <w:r>
        <w:rPr>
          <w:rFonts w:ascii="Arial" w:hAnsi="Arial" w:cs="Arial"/>
          <w:bCs/>
          <w:sz w:val="24"/>
          <w:szCs w:val="24"/>
        </w:rPr>
        <w:t>Derli</w:t>
      </w:r>
      <w:proofErr w:type="spellEnd"/>
      <w:r>
        <w:rPr>
          <w:rFonts w:ascii="Arial" w:hAnsi="Arial" w:cs="Arial"/>
          <w:bCs/>
          <w:sz w:val="24"/>
          <w:szCs w:val="24"/>
        </w:rPr>
        <w:t xml:space="preserve"> Furtado</w:t>
      </w:r>
    </w:p>
    <w:p w:rsidR="00BD7B22" w:rsidRDefault="00BD7B22" w:rsidP="00BD7B22">
      <w:pPr>
        <w:spacing w:after="0" w:line="240" w:lineRule="auto"/>
        <w:rPr>
          <w:rFonts w:ascii="Arial" w:hAnsi="Arial" w:cs="Arial"/>
          <w:bCs/>
          <w:sz w:val="24"/>
          <w:szCs w:val="24"/>
        </w:rPr>
      </w:pPr>
      <w:r>
        <w:rPr>
          <w:rFonts w:ascii="Arial" w:hAnsi="Arial" w:cs="Arial"/>
          <w:b/>
          <w:bCs/>
          <w:color w:val="215868" w:themeColor="accent5" w:themeShade="80"/>
          <w:sz w:val="24"/>
          <w:szCs w:val="24"/>
        </w:rPr>
        <w:t>Microrregião:</w:t>
      </w:r>
      <w:r>
        <w:rPr>
          <w:rFonts w:ascii="Arial" w:hAnsi="Arial" w:cs="Arial"/>
          <w:bCs/>
          <w:sz w:val="24"/>
          <w:szCs w:val="24"/>
        </w:rPr>
        <w:t xml:space="preserve"> Microrregião do Oeste de Santa Catarina</w:t>
      </w:r>
    </w:p>
    <w:p w:rsidR="00BD7B22" w:rsidRDefault="00BD7B22" w:rsidP="00BD7B22">
      <w:pPr>
        <w:spacing w:after="0" w:line="240" w:lineRule="auto"/>
        <w:rPr>
          <w:rFonts w:ascii="Arial" w:hAnsi="Arial" w:cs="Arial"/>
          <w:bCs/>
          <w:sz w:val="24"/>
          <w:szCs w:val="24"/>
        </w:rPr>
      </w:pPr>
      <w:r>
        <w:rPr>
          <w:rFonts w:ascii="Arial" w:hAnsi="Arial" w:cs="Arial"/>
          <w:b/>
          <w:bCs/>
          <w:color w:val="215868" w:themeColor="accent5" w:themeShade="80"/>
          <w:sz w:val="24"/>
          <w:szCs w:val="24"/>
        </w:rPr>
        <w:t>Aniversário:</w:t>
      </w:r>
      <w:r>
        <w:rPr>
          <w:rFonts w:ascii="Arial" w:hAnsi="Arial" w:cs="Arial"/>
          <w:bCs/>
          <w:sz w:val="24"/>
          <w:szCs w:val="24"/>
        </w:rPr>
        <w:t> 19/07</w:t>
      </w:r>
    </w:p>
    <w:p w:rsidR="00BD7B22" w:rsidRDefault="00BD7B22" w:rsidP="00BD7B22">
      <w:pPr>
        <w:spacing w:after="0" w:line="240" w:lineRule="auto"/>
        <w:rPr>
          <w:rFonts w:ascii="Arial" w:hAnsi="Arial" w:cs="Arial"/>
          <w:bCs/>
          <w:sz w:val="24"/>
          <w:szCs w:val="24"/>
        </w:rPr>
      </w:pPr>
      <w:r>
        <w:rPr>
          <w:rFonts w:ascii="Arial" w:hAnsi="Arial" w:cs="Arial"/>
          <w:b/>
          <w:bCs/>
          <w:color w:val="215868" w:themeColor="accent5" w:themeShade="80"/>
          <w:sz w:val="24"/>
          <w:szCs w:val="24"/>
        </w:rPr>
        <w:t>Habitantes:</w:t>
      </w:r>
      <w:r>
        <w:rPr>
          <w:rFonts w:ascii="Arial" w:hAnsi="Arial" w:cs="Arial"/>
          <w:bCs/>
          <w:sz w:val="24"/>
          <w:szCs w:val="24"/>
        </w:rPr>
        <w:t xml:space="preserve">  2.428 (IBGE/2019)</w:t>
      </w:r>
    </w:p>
    <w:p w:rsidR="00BD7B22" w:rsidRDefault="00BD7B22" w:rsidP="00BD7B22">
      <w:pPr>
        <w:spacing w:after="0" w:line="240" w:lineRule="auto"/>
        <w:rPr>
          <w:rFonts w:ascii="Arial" w:hAnsi="Arial" w:cs="Arial"/>
          <w:bCs/>
          <w:sz w:val="24"/>
          <w:szCs w:val="24"/>
        </w:rPr>
      </w:pPr>
      <w:r>
        <w:rPr>
          <w:rFonts w:ascii="Arial" w:hAnsi="Arial" w:cs="Arial"/>
          <w:b/>
          <w:bCs/>
          <w:color w:val="215868" w:themeColor="accent5" w:themeShade="80"/>
          <w:sz w:val="24"/>
          <w:szCs w:val="24"/>
        </w:rPr>
        <w:t>Eleitores:</w:t>
      </w:r>
      <w:r>
        <w:rPr>
          <w:rFonts w:ascii="Arial" w:hAnsi="Arial" w:cs="Arial"/>
          <w:bCs/>
          <w:sz w:val="24"/>
          <w:szCs w:val="24"/>
        </w:rPr>
        <w:t xml:space="preserve">  2.368 (TSE/2019)</w:t>
      </w:r>
    </w:p>
    <w:p w:rsidR="00BD7B22" w:rsidRDefault="00BD7B22" w:rsidP="00BD7B22">
      <w:pPr>
        <w:spacing w:after="0" w:line="240" w:lineRule="auto"/>
        <w:rPr>
          <w:rFonts w:ascii="Arial" w:hAnsi="Arial" w:cs="Arial"/>
          <w:bCs/>
          <w:sz w:val="24"/>
          <w:szCs w:val="24"/>
        </w:rPr>
      </w:pPr>
      <w:r>
        <w:rPr>
          <w:rFonts w:ascii="Arial" w:hAnsi="Arial" w:cs="Arial"/>
          <w:b/>
          <w:bCs/>
          <w:color w:val="215868" w:themeColor="accent5" w:themeShade="80"/>
          <w:sz w:val="24"/>
          <w:szCs w:val="24"/>
        </w:rPr>
        <w:t>PIB:</w:t>
      </w:r>
      <w:r>
        <w:rPr>
          <w:rFonts w:ascii="Arial" w:hAnsi="Arial" w:cs="Arial"/>
          <w:bCs/>
          <w:sz w:val="24"/>
          <w:szCs w:val="24"/>
        </w:rPr>
        <w:t xml:space="preserve"> 46.815.000,00 (IBGE/2016)</w:t>
      </w:r>
    </w:p>
    <w:p w:rsidR="008A3226" w:rsidRDefault="008A3226" w:rsidP="00807064">
      <w:pPr>
        <w:autoSpaceDE w:val="0"/>
        <w:autoSpaceDN w:val="0"/>
        <w:adjustRightInd w:val="0"/>
        <w:spacing w:after="0" w:line="240" w:lineRule="auto"/>
        <w:rPr>
          <w:rFonts w:ascii="Arial" w:hAnsi="Arial" w:cs="Arial"/>
          <w:bCs/>
          <w:sz w:val="24"/>
          <w:szCs w:val="24"/>
        </w:rPr>
      </w:pPr>
    </w:p>
    <w:p w:rsidR="001A008C" w:rsidRPr="00AC2E48" w:rsidRDefault="001A008C" w:rsidP="00807064">
      <w:pPr>
        <w:autoSpaceDE w:val="0"/>
        <w:autoSpaceDN w:val="0"/>
        <w:adjustRightInd w:val="0"/>
        <w:spacing w:after="0" w:line="240" w:lineRule="auto"/>
        <w:rPr>
          <w:rFonts w:ascii="Arial" w:hAnsi="Arial" w:cs="Arial"/>
          <w:bCs/>
          <w:sz w:val="24"/>
          <w:szCs w:val="24"/>
        </w:rPr>
      </w:pPr>
    </w:p>
    <w:p w:rsidR="008A3226" w:rsidRPr="0093664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93664A">
        <w:rPr>
          <w:rFonts w:ascii="Arial" w:hAnsi="Arial" w:cs="Arial"/>
          <w:b/>
          <w:bCs/>
          <w:color w:val="215868" w:themeColor="accent5" w:themeShade="80"/>
          <w:sz w:val="24"/>
          <w:szCs w:val="24"/>
        </w:rPr>
        <w:t>Natureza Jurídica da Entidade</w:t>
      </w:r>
    </w:p>
    <w:p w:rsidR="00B6357B" w:rsidRPr="004A60BA" w:rsidRDefault="00B6357B" w:rsidP="00B6357B">
      <w:pPr>
        <w:pStyle w:val="PargrafodaLista"/>
        <w:autoSpaceDE w:val="0"/>
        <w:autoSpaceDN w:val="0"/>
        <w:adjustRightInd w:val="0"/>
        <w:spacing w:after="0" w:line="240" w:lineRule="auto"/>
        <w:ind w:left="0"/>
        <w:jc w:val="both"/>
        <w:rPr>
          <w:rFonts w:ascii="Arial" w:hAnsi="Arial" w:cs="Arial"/>
          <w:bCs/>
          <w:sz w:val="24"/>
          <w:szCs w:val="24"/>
        </w:rPr>
      </w:pPr>
      <w:r w:rsidRPr="00B6357B">
        <w:rPr>
          <w:rFonts w:ascii="Arial" w:hAnsi="Arial" w:cs="Arial"/>
          <w:bCs/>
          <w:sz w:val="24"/>
          <w:szCs w:val="24"/>
        </w:rPr>
        <w:t xml:space="preserve">O Município de Santa Terezinha do Progresso, SC, é pessoa jurídica de direito público, CNPJ </w:t>
      </w:r>
      <w:r w:rsidRPr="00B6357B">
        <w:rPr>
          <w:rFonts w:ascii="Arial" w:hAnsi="Arial" w:cs="Arial"/>
          <w:color w:val="000000" w:themeColor="text1"/>
          <w:shd w:val="clear" w:color="auto" w:fill="FFFFFF"/>
        </w:rPr>
        <w:t>01.612.847/0001-90</w:t>
      </w:r>
      <w:r w:rsidRPr="00B6357B">
        <w:rPr>
          <w:rFonts w:ascii="Arial" w:hAnsi="Arial" w:cs="Arial"/>
          <w:bCs/>
          <w:sz w:val="24"/>
          <w:szCs w:val="24"/>
        </w:rPr>
        <w:t xml:space="preserve">, com natureza jurídica 124-4 Município, na forma </w:t>
      </w:r>
      <w:r w:rsidRPr="004A60BA">
        <w:rPr>
          <w:rFonts w:ascii="Arial" w:hAnsi="Arial" w:cs="Arial"/>
          <w:bCs/>
          <w:sz w:val="24"/>
          <w:szCs w:val="24"/>
        </w:rPr>
        <w:t>de Ente Federativo.</w:t>
      </w:r>
    </w:p>
    <w:p w:rsidR="004F6719" w:rsidRPr="004A60BA" w:rsidRDefault="009E120F" w:rsidP="00807064">
      <w:pPr>
        <w:autoSpaceDE w:val="0"/>
        <w:autoSpaceDN w:val="0"/>
        <w:adjustRightInd w:val="0"/>
        <w:spacing w:after="0" w:line="240" w:lineRule="auto"/>
        <w:jc w:val="both"/>
        <w:rPr>
          <w:rFonts w:ascii="Arial" w:hAnsi="Arial" w:cs="Arial"/>
          <w:bCs/>
          <w:sz w:val="24"/>
          <w:szCs w:val="24"/>
        </w:rPr>
      </w:pPr>
      <w:r w:rsidRPr="004A60BA">
        <w:rPr>
          <w:rFonts w:ascii="Arial" w:hAnsi="Arial" w:cs="Arial"/>
          <w:bCs/>
          <w:sz w:val="24"/>
          <w:szCs w:val="24"/>
        </w:rPr>
        <w:t xml:space="preserve">O Fundo Municipal de Saúde está </w:t>
      </w:r>
      <w:r w:rsidR="004F6719" w:rsidRPr="004A60BA">
        <w:rPr>
          <w:rFonts w:ascii="Arial" w:hAnsi="Arial" w:cs="Arial"/>
          <w:bCs/>
          <w:sz w:val="24"/>
          <w:szCs w:val="24"/>
        </w:rPr>
        <w:t>inscrito no CNPJ 11.360.515/0001-19</w:t>
      </w:r>
      <w:r w:rsidR="004A60BA" w:rsidRPr="004A60BA">
        <w:rPr>
          <w:rFonts w:ascii="Arial" w:hAnsi="Arial" w:cs="Arial"/>
          <w:bCs/>
          <w:sz w:val="24"/>
          <w:szCs w:val="24"/>
        </w:rPr>
        <w:t>.</w:t>
      </w:r>
    </w:p>
    <w:p w:rsidR="009E120F" w:rsidRPr="004A60BA" w:rsidRDefault="004A60BA" w:rsidP="004A60BA">
      <w:pPr>
        <w:autoSpaceDE w:val="0"/>
        <w:autoSpaceDN w:val="0"/>
        <w:adjustRightInd w:val="0"/>
        <w:spacing w:after="0" w:line="240" w:lineRule="auto"/>
        <w:jc w:val="both"/>
        <w:rPr>
          <w:rFonts w:ascii="Arial" w:hAnsi="Arial" w:cs="Arial"/>
          <w:bCs/>
          <w:sz w:val="24"/>
          <w:szCs w:val="24"/>
        </w:rPr>
      </w:pPr>
      <w:r w:rsidRPr="004A60BA">
        <w:rPr>
          <w:rFonts w:ascii="Arial" w:hAnsi="Arial" w:cs="Arial"/>
          <w:bCs/>
          <w:sz w:val="24"/>
          <w:szCs w:val="24"/>
        </w:rPr>
        <w:t xml:space="preserve">O Município conta com uma </w:t>
      </w:r>
      <w:r w:rsidR="009E120F" w:rsidRPr="004A60BA">
        <w:rPr>
          <w:rFonts w:ascii="Arial" w:hAnsi="Arial" w:cs="Arial"/>
          <w:bCs/>
          <w:sz w:val="24"/>
          <w:szCs w:val="24"/>
        </w:rPr>
        <w:t>Unidade de Saúde</w:t>
      </w:r>
      <w:r w:rsidRPr="004A60BA">
        <w:rPr>
          <w:rFonts w:ascii="Arial" w:hAnsi="Arial" w:cs="Arial"/>
          <w:bCs/>
          <w:sz w:val="24"/>
          <w:szCs w:val="24"/>
        </w:rPr>
        <w:t>.</w:t>
      </w:r>
    </w:p>
    <w:p w:rsidR="008A3226" w:rsidRDefault="008A3226" w:rsidP="00807064">
      <w:pPr>
        <w:autoSpaceDE w:val="0"/>
        <w:autoSpaceDN w:val="0"/>
        <w:adjustRightInd w:val="0"/>
        <w:spacing w:after="0" w:line="240" w:lineRule="auto"/>
        <w:jc w:val="both"/>
        <w:rPr>
          <w:rFonts w:ascii="Arial" w:hAnsi="Arial" w:cs="Arial"/>
          <w:bCs/>
          <w:sz w:val="24"/>
          <w:szCs w:val="24"/>
        </w:rPr>
      </w:pPr>
    </w:p>
    <w:p w:rsidR="001A008C" w:rsidRPr="003A0D3C" w:rsidRDefault="001A008C" w:rsidP="00807064">
      <w:pPr>
        <w:autoSpaceDE w:val="0"/>
        <w:autoSpaceDN w:val="0"/>
        <w:adjustRightInd w:val="0"/>
        <w:spacing w:after="0" w:line="240" w:lineRule="auto"/>
        <w:jc w:val="both"/>
        <w:rPr>
          <w:rFonts w:ascii="Arial" w:hAnsi="Arial" w:cs="Arial"/>
          <w:bCs/>
          <w:sz w:val="24"/>
          <w:szCs w:val="24"/>
        </w:rPr>
      </w:pPr>
    </w:p>
    <w:p w:rsidR="008A3226" w:rsidRPr="0093664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93664A">
        <w:rPr>
          <w:rFonts w:ascii="Arial" w:hAnsi="Arial" w:cs="Arial"/>
          <w:b/>
          <w:bCs/>
          <w:color w:val="215868" w:themeColor="accent5" w:themeShade="80"/>
          <w:sz w:val="24"/>
          <w:szCs w:val="24"/>
        </w:rPr>
        <w:t>Domicílio da Entidade</w:t>
      </w:r>
    </w:p>
    <w:p w:rsidR="00B6357B" w:rsidRPr="00B6357B" w:rsidRDefault="00B6357B" w:rsidP="00B6357B">
      <w:pPr>
        <w:autoSpaceDE w:val="0"/>
        <w:autoSpaceDN w:val="0"/>
        <w:adjustRightInd w:val="0"/>
        <w:spacing w:after="0" w:line="240" w:lineRule="auto"/>
        <w:jc w:val="both"/>
        <w:rPr>
          <w:rFonts w:ascii="Arial" w:hAnsi="Arial" w:cs="Arial"/>
          <w:bCs/>
          <w:sz w:val="24"/>
          <w:szCs w:val="24"/>
        </w:rPr>
      </w:pPr>
      <w:r w:rsidRPr="00B6357B">
        <w:rPr>
          <w:rFonts w:ascii="Arial" w:hAnsi="Arial" w:cs="Arial"/>
          <w:bCs/>
          <w:sz w:val="24"/>
          <w:szCs w:val="24"/>
        </w:rPr>
        <w:t xml:space="preserve">Tem sua sede no endereço Avenida Tancredo Neves, nº 337, Centro, Santa Terezinha do Progresso, CEP. 89.983-000, Estado de Santa Catarina. </w:t>
      </w:r>
    </w:p>
    <w:p w:rsidR="008A3226" w:rsidRPr="00B6357B" w:rsidRDefault="008A3226" w:rsidP="00807064">
      <w:pPr>
        <w:autoSpaceDE w:val="0"/>
        <w:autoSpaceDN w:val="0"/>
        <w:adjustRightInd w:val="0"/>
        <w:spacing w:after="0" w:line="240" w:lineRule="auto"/>
        <w:rPr>
          <w:rFonts w:ascii="Arial" w:hAnsi="Arial" w:cs="Arial"/>
          <w:color w:val="215868" w:themeColor="accent5" w:themeShade="80"/>
          <w:sz w:val="24"/>
          <w:szCs w:val="24"/>
        </w:rPr>
      </w:pPr>
    </w:p>
    <w:p w:rsidR="001A008C" w:rsidRPr="0093664A" w:rsidRDefault="001A008C" w:rsidP="00807064">
      <w:pPr>
        <w:autoSpaceDE w:val="0"/>
        <w:autoSpaceDN w:val="0"/>
        <w:adjustRightInd w:val="0"/>
        <w:spacing w:after="0" w:line="240" w:lineRule="auto"/>
        <w:rPr>
          <w:rFonts w:ascii="Arial" w:hAnsi="Arial" w:cs="Arial"/>
          <w:color w:val="215868" w:themeColor="accent5" w:themeShade="80"/>
          <w:sz w:val="24"/>
          <w:szCs w:val="24"/>
          <w:lang w:val="es-ES_tradnl"/>
        </w:rPr>
      </w:pPr>
    </w:p>
    <w:p w:rsidR="008A3226" w:rsidRPr="00B2456B"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B2456B">
        <w:rPr>
          <w:rFonts w:ascii="Arial" w:hAnsi="Arial" w:cs="Arial"/>
          <w:b/>
          <w:bCs/>
          <w:color w:val="215868" w:themeColor="accent5" w:themeShade="80"/>
          <w:sz w:val="24"/>
          <w:szCs w:val="24"/>
        </w:rPr>
        <w:lastRenderedPageBreak/>
        <w:t>Natureza das operações e principais atividades da entidade</w:t>
      </w:r>
    </w:p>
    <w:p w:rsidR="008A3226" w:rsidRPr="004F6719" w:rsidRDefault="008A3226" w:rsidP="00807064">
      <w:pPr>
        <w:autoSpaceDE w:val="0"/>
        <w:autoSpaceDN w:val="0"/>
        <w:adjustRightInd w:val="0"/>
        <w:spacing w:after="0" w:line="240" w:lineRule="auto"/>
        <w:jc w:val="both"/>
        <w:rPr>
          <w:rFonts w:ascii="Arial" w:hAnsi="Arial" w:cs="Arial"/>
          <w:bCs/>
          <w:sz w:val="24"/>
          <w:szCs w:val="24"/>
        </w:rPr>
      </w:pPr>
      <w:r w:rsidRPr="001E53A3">
        <w:rPr>
          <w:rFonts w:ascii="Arial" w:hAnsi="Arial" w:cs="Arial"/>
          <w:bCs/>
          <w:sz w:val="24"/>
          <w:szCs w:val="24"/>
        </w:rPr>
        <w:t xml:space="preserve">A atividade econômica principal é Administração Pública em Geral, </w:t>
      </w:r>
      <w:r w:rsidRPr="004F6719">
        <w:rPr>
          <w:rFonts w:ascii="Arial" w:hAnsi="Arial" w:cs="Arial"/>
          <w:bCs/>
          <w:sz w:val="24"/>
          <w:szCs w:val="24"/>
        </w:rPr>
        <w:t xml:space="preserve">CNAE 84.11-6-00.  </w:t>
      </w:r>
    </w:p>
    <w:p w:rsidR="008A3226" w:rsidRPr="004F6719" w:rsidRDefault="008A3226" w:rsidP="00807064">
      <w:pPr>
        <w:autoSpaceDE w:val="0"/>
        <w:autoSpaceDN w:val="0"/>
        <w:adjustRightInd w:val="0"/>
        <w:spacing w:after="0" w:line="240" w:lineRule="auto"/>
        <w:jc w:val="both"/>
        <w:rPr>
          <w:rFonts w:ascii="Arial" w:hAnsi="Arial" w:cs="Arial"/>
          <w:bCs/>
          <w:sz w:val="24"/>
          <w:szCs w:val="24"/>
        </w:rPr>
      </w:pPr>
    </w:p>
    <w:p w:rsidR="008A3226" w:rsidRPr="004F6719" w:rsidRDefault="008A3226" w:rsidP="00807064">
      <w:pPr>
        <w:autoSpaceDE w:val="0"/>
        <w:autoSpaceDN w:val="0"/>
        <w:adjustRightInd w:val="0"/>
        <w:spacing w:after="0" w:line="240" w:lineRule="auto"/>
        <w:jc w:val="both"/>
        <w:rPr>
          <w:rFonts w:ascii="Arial" w:hAnsi="Arial" w:cs="Arial"/>
          <w:b/>
          <w:bCs/>
          <w:sz w:val="24"/>
          <w:szCs w:val="24"/>
        </w:rPr>
      </w:pPr>
      <w:r w:rsidRPr="004F6719">
        <w:rPr>
          <w:rFonts w:ascii="Arial" w:hAnsi="Arial" w:cs="Arial"/>
          <w:b/>
          <w:bCs/>
          <w:sz w:val="24"/>
          <w:szCs w:val="24"/>
        </w:rPr>
        <w:t>Fazem parte da sua estrutura Organizacional as Secretarias:</w:t>
      </w:r>
    </w:p>
    <w:p w:rsidR="00382831" w:rsidRDefault="000C6647" w:rsidP="00382831">
      <w:pPr>
        <w:numPr>
          <w:ilvl w:val="0"/>
          <w:numId w:val="8"/>
        </w:numPr>
        <w:shd w:val="clear" w:color="auto" w:fill="FFFFFF"/>
        <w:spacing w:after="0" w:line="240" w:lineRule="auto"/>
        <w:ind w:left="0" w:firstLine="0"/>
        <w:rPr>
          <w:rFonts w:ascii="Arial" w:hAnsi="Arial" w:cs="Arial"/>
          <w:bCs/>
          <w:sz w:val="24"/>
          <w:szCs w:val="24"/>
        </w:rPr>
      </w:pPr>
      <w:hyperlink r:id="rId10" w:history="1">
        <w:r w:rsidR="00382831">
          <w:rPr>
            <w:rFonts w:ascii="Arial" w:hAnsi="Arial" w:cs="Arial"/>
            <w:bCs/>
            <w:sz w:val="24"/>
            <w:szCs w:val="24"/>
          </w:rPr>
          <w:t>Secretaria</w:t>
        </w:r>
      </w:hyperlink>
      <w:r w:rsidR="00382831">
        <w:rPr>
          <w:rFonts w:ascii="Arial" w:hAnsi="Arial" w:cs="Arial"/>
          <w:bCs/>
          <w:sz w:val="24"/>
          <w:szCs w:val="24"/>
        </w:rPr>
        <w:t xml:space="preserve"> Municipal de Saúde</w:t>
      </w:r>
    </w:p>
    <w:p w:rsidR="00394DDE" w:rsidRPr="001E53A3" w:rsidRDefault="00394DDE" w:rsidP="00382831">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Fundo Municipal de Saúde</w:t>
      </w:r>
    </w:p>
    <w:p w:rsidR="008A3226" w:rsidRDefault="008A3226" w:rsidP="00382831">
      <w:pPr>
        <w:shd w:val="clear" w:color="auto" w:fill="FFFFFF"/>
        <w:spacing w:after="0" w:line="240" w:lineRule="auto"/>
        <w:rPr>
          <w:rFonts w:ascii="Arial" w:hAnsi="Arial" w:cs="Arial"/>
          <w:bCs/>
          <w:sz w:val="24"/>
          <w:szCs w:val="24"/>
        </w:rPr>
      </w:pPr>
    </w:p>
    <w:p w:rsidR="001A008C" w:rsidRDefault="001A008C" w:rsidP="00382831">
      <w:pPr>
        <w:shd w:val="clear" w:color="auto" w:fill="FFFFFF"/>
        <w:spacing w:after="0" w:line="240" w:lineRule="auto"/>
        <w:rPr>
          <w:rFonts w:ascii="Arial" w:hAnsi="Arial" w:cs="Arial"/>
          <w:bCs/>
          <w:sz w:val="24"/>
          <w:szCs w:val="24"/>
        </w:rPr>
      </w:pPr>
    </w:p>
    <w:p w:rsidR="00A808DF" w:rsidRDefault="00A808DF" w:rsidP="00382831">
      <w:pPr>
        <w:shd w:val="clear" w:color="auto" w:fill="FFFFFF"/>
        <w:spacing w:after="0" w:line="240" w:lineRule="auto"/>
        <w:rPr>
          <w:rFonts w:ascii="Arial" w:hAnsi="Arial" w:cs="Arial"/>
          <w:bCs/>
          <w:sz w:val="24"/>
          <w:szCs w:val="24"/>
        </w:rPr>
      </w:pPr>
    </w:p>
    <w:p w:rsidR="008A3226"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3C66DE">
        <w:rPr>
          <w:rFonts w:ascii="Arial" w:hAnsi="Arial" w:cs="Arial"/>
          <w:b/>
          <w:bCs/>
          <w:color w:val="215868" w:themeColor="accent5" w:themeShade="80"/>
          <w:sz w:val="24"/>
          <w:szCs w:val="24"/>
        </w:rPr>
        <w:t>Declaração de conformidade com a legislação e com as normas de contabilidade aplicáveis</w:t>
      </w:r>
    </w:p>
    <w:p w:rsidR="00430C14" w:rsidRDefault="00430C14"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r>
        <w:rPr>
          <w:rFonts w:ascii="Arial" w:hAnsi="Arial" w:cs="Arial"/>
          <w:b/>
          <w:bCs/>
          <w:noProof/>
          <w:color w:val="FFFFFF" w:themeColor="background1"/>
          <w:sz w:val="26"/>
          <w:szCs w:val="26"/>
          <w:lang w:eastAsia="pt-BR"/>
        </w:rPr>
        <mc:AlternateContent>
          <mc:Choice Requires="wps">
            <w:drawing>
              <wp:anchor distT="0" distB="0" distL="114300" distR="114300" simplePos="0" relativeHeight="251660288" behindDoc="0" locked="0" layoutInCell="1" allowOverlap="1" wp14:anchorId="5243F957" wp14:editId="14C15C92">
                <wp:simplePos x="0" y="0"/>
                <wp:positionH relativeFrom="column">
                  <wp:posOffset>-299085</wp:posOffset>
                </wp:positionH>
                <wp:positionV relativeFrom="paragraph">
                  <wp:posOffset>-150495</wp:posOffset>
                </wp:positionV>
                <wp:extent cx="6219825" cy="6410325"/>
                <wp:effectExtent l="0" t="0" r="9525" b="9525"/>
                <wp:wrapNone/>
                <wp:docPr id="2" name="Retângulo Arredond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6410325"/>
                        </a:xfrm>
                        <a:prstGeom prst="roundRect">
                          <a:avLst/>
                        </a:prstGeom>
                        <a:ln>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7349F9" w:rsidRPr="00430C14" w:rsidRDefault="007349F9" w:rsidP="003C4C07">
                            <w:pPr>
                              <w:autoSpaceDE w:val="0"/>
                              <w:autoSpaceDN w:val="0"/>
                              <w:adjustRightInd w:val="0"/>
                              <w:spacing w:line="240" w:lineRule="auto"/>
                              <w:jc w:val="center"/>
                              <w:rPr>
                                <w:rFonts w:ascii="Arial" w:hAnsi="Arial" w:cs="Arial"/>
                                <w:b/>
                                <w:bCs/>
                                <w:color w:val="FFFFFF" w:themeColor="background1"/>
                                <w:sz w:val="26"/>
                                <w:szCs w:val="26"/>
                              </w:rPr>
                            </w:pPr>
                            <w:r w:rsidRPr="00430C14">
                              <w:rPr>
                                <w:rFonts w:ascii="Arial" w:hAnsi="Arial" w:cs="Arial"/>
                                <w:b/>
                                <w:bCs/>
                                <w:color w:val="FFFFFF" w:themeColor="background1"/>
                                <w:sz w:val="26"/>
                                <w:szCs w:val="26"/>
                              </w:rPr>
                              <w:t>DECLARAÇÃO COM RESSALVAS</w:t>
                            </w:r>
                          </w:p>
                          <w:p w:rsidR="007349F9" w:rsidRDefault="007349F9" w:rsidP="003C4C07">
                            <w:pPr>
                              <w:autoSpaceDE w:val="0"/>
                              <w:autoSpaceDN w:val="0"/>
                              <w:adjustRightInd w:val="0"/>
                              <w:spacing w:line="240" w:lineRule="auto"/>
                              <w:jc w:val="both"/>
                              <w:rPr>
                                <w:rFonts w:ascii="Arial" w:hAnsi="Arial" w:cs="Arial"/>
                                <w:color w:val="FFFFFF" w:themeColor="background1"/>
                                <w:sz w:val="26"/>
                                <w:szCs w:val="26"/>
                              </w:rPr>
                            </w:pPr>
                            <w:r w:rsidRPr="00430C14">
                              <w:rPr>
                                <w:rFonts w:ascii="Arial" w:hAnsi="Arial" w:cs="Arial"/>
                                <w:color w:val="FFFFFF" w:themeColor="background1"/>
                                <w:sz w:val="26"/>
                                <w:szCs w:val="26"/>
                              </w:rPr>
                              <w:t>Com base na análise dos Demonstrativos Contábeis, DECLARO que os mesmos</w:t>
                            </w:r>
                            <w:r w:rsidRPr="006A12A9">
                              <w:rPr>
                                <w:rFonts w:ascii="Arial" w:hAnsi="Arial" w:cs="Arial"/>
                                <w:color w:val="FFFFFF" w:themeColor="background1"/>
                                <w:sz w:val="26"/>
                                <w:szCs w:val="26"/>
                              </w:rPr>
                              <w:t xml:space="preserve"> </w:t>
                            </w:r>
                            <w:r w:rsidRPr="00430C14">
                              <w:rPr>
                                <w:rFonts w:ascii="Arial" w:hAnsi="Arial" w:cs="Arial"/>
                                <w:color w:val="FFFFFF" w:themeColor="background1"/>
                                <w:sz w:val="26"/>
                                <w:szCs w:val="26"/>
                              </w:rPr>
                              <w:t>REFLETEM ADEQUADAMENTE a situação ORÇAMEN</w:t>
                            </w:r>
                            <w:r>
                              <w:rPr>
                                <w:rFonts w:ascii="Arial" w:hAnsi="Arial" w:cs="Arial"/>
                                <w:color w:val="FFFFFF" w:themeColor="background1"/>
                                <w:sz w:val="26"/>
                                <w:szCs w:val="26"/>
                              </w:rPr>
                              <w:t>TÁRIA, FINANCEIRA e PATRIMONIAL</w:t>
                            </w:r>
                            <w:r w:rsidRPr="00430C14">
                              <w:rPr>
                                <w:rFonts w:ascii="Arial" w:hAnsi="Arial" w:cs="Arial"/>
                                <w:color w:val="FFFFFF" w:themeColor="background1"/>
                                <w:sz w:val="26"/>
                                <w:szCs w:val="26"/>
                              </w:rPr>
                              <w:t xml:space="preserve">. </w:t>
                            </w:r>
                            <w:r>
                              <w:rPr>
                                <w:rFonts w:ascii="Arial" w:hAnsi="Arial" w:cs="Arial"/>
                                <w:color w:val="FFFFFF" w:themeColor="background1"/>
                                <w:sz w:val="26"/>
                                <w:szCs w:val="26"/>
                              </w:rPr>
                              <w:t>As ressalvas se referem a situação Patrimonial.</w:t>
                            </w:r>
                          </w:p>
                          <w:p w:rsidR="007349F9" w:rsidRDefault="007349F9" w:rsidP="003C4C07">
                            <w:pPr>
                              <w:pStyle w:val="PargrafodaLista"/>
                              <w:numPr>
                                <w:ilvl w:val="0"/>
                                <w:numId w:val="22"/>
                              </w:numPr>
                              <w:autoSpaceDE w:val="0"/>
                              <w:autoSpaceDN w:val="0"/>
                              <w:adjustRightInd w:val="0"/>
                              <w:spacing w:line="240" w:lineRule="auto"/>
                              <w:jc w:val="both"/>
                              <w:rPr>
                                <w:rFonts w:ascii="Arial" w:hAnsi="Arial" w:cs="Arial"/>
                                <w:color w:val="FFFFFF" w:themeColor="background1"/>
                                <w:sz w:val="26"/>
                                <w:szCs w:val="26"/>
                              </w:rPr>
                            </w:pPr>
                            <w:r>
                              <w:rPr>
                                <w:rFonts w:ascii="Arial" w:hAnsi="Arial" w:cs="Arial"/>
                                <w:color w:val="FFFFFF" w:themeColor="background1"/>
                                <w:sz w:val="26"/>
                                <w:szCs w:val="26"/>
                              </w:rPr>
                              <w:t>As restrições de ordem Contábeis do exercício de 2019, considerando o grau de relevância e a materialidade dos valores envolvidos são:</w:t>
                            </w:r>
                          </w:p>
                          <w:p w:rsidR="007349F9" w:rsidRPr="006D0EE7" w:rsidRDefault="007349F9" w:rsidP="003C4C07">
                            <w:pPr>
                              <w:pStyle w:val="PargrafodaLista"/>
                              <w:numPr>
                                <w:ilvl w:val="0"/>
                                <w:numId w:val="23"/>
                              </w:numPr>
                              <w:autoSpaceDE w:val="0"/>
                              <w:autoSpaceDN w:val="0"/>
                              <w:adjustRightInd w:val="0"/>
                              <w:spacing w:line="240" w:lineRule="auto"/>
                              <w:jc w:val="both"/>
                              <w:rPr>
                                <w:rFonts w:ascii="Arial" w:hAnsi="Arial" w:cs="Arial"/>
                                <w:color w:val="FF0000"/>
                                <w:sz w:val="26"/>
                                <w:szCs w:val="26"/>
                              </w:rPr>
                            </w:pPr>
                            <w:r w:rsidRPr="006D0EE7">
                              <w:rPr>
                                <w:rFonts w:ascii="Arial" w:hAnsi="Arial" w:cs="Arial"/>
                                <w:color w:val="FF0000"/>
                                <w:sz w:val="26"/>
                                <w:szCs w:val="26"/>
                              </w:rPr>
                              <w:t>não contabilização do controle de estoque;</w:t>
                            </w:r>
                          </w:p>
                          <w:p w:rsidR="007349F9" w:rsidRPr="006D0EE7" w:rsidRDefault="007349F9" w:rsidP="003C4C07">
                            <w:pPr>
                              <w:pStyle w:val="PargrafodaLista"/>
                              <w:numPr>
                                <w:ilvl w:val="0"/>
                                <w:numId w:val="23"/>
                              </w:numPr>
                              <w:autoSpaceDE w:val="0"/>
                              <w:autoSpaceDN w:val="0"/>
                              <w:adjustRightInd w:val="0"/>
                              <w:spacing w:line="240" w:lineRule="auto"/>
                              <w:jc w:val="both"/>
                              <w:rPr>
                                <w:rFonts w:ascii="Arial" w:hAnsi="Arial" w:cs="Arial"/>
                                <w:color w:val="FF0000"/>
                                <w:sz w:val="26"/>
                                <w:szCs w:val="26"/>
                              </w:rPr>
                            </w:pPr>
                            <w:r w:rsidRPr="006D0EE7">
                              <w:rPr>
                                <w:rFonts w:ascii="Arial" w:hAnsi="Arial" w:cs="Arial"/>
                                <w:color w:val="FF0000"/>
                                <w:sz w:val="26"/>
                                <w:szCs w:val="26"/>
                              </w:rPr>
                              <w:t>não contabilização das demandas judiciais.</w:t>
                            </w:r>
                          </w:p>
                          <w:p w:rsidR="007349F9" w:rsidRPr="00430C14" w:rsidRDefault="007349F9" w:rsidP="003C4C07">
                            <w:pPr>
                              <w:autoSpaceDE w:val="0"/>
                              <w:autoSpaceDN w:val="0"/>
                              <w:adjustRightInd w:val="0"/>
                              <w:spacing w:line="240" w:lineRule="auto"/>
                              <w:ind w:left="720"/>
                              <w:jc w:val="both"/>
                              <w:rPr>
                                <w:rFonts w:ascii="Arial" w:hAnsi="Arial" w:cs="Arial"/>
                                <w:bCs/>
                                <w:color w:val="FFFFFF" w:themeColor="background1"/>
                                <w:sz w:val="26"/>
                                <w:szCs w:val="26"/>
                              </w:rPr>
                            </w:pPr>
                            <w:r>
                              <w:rPr>
                                <w:rFonts w:ascii="Arial" w:hAnsi="Arial" w:cs="Arial"/>
                                <w:color w:val="FFFFFF" w:themeColor="background1"/>
                                <w:sz w:val="26"/>
                                <w:szCs w:val="26"/>
                              </w:rPr>
                              <w:t>A falta desses registros não causou nenhum prejuízo ao Ente Público. O registro não foi realizado tendo em vista o não recebimento pelo setor contábil, de documentos oficiais dos setores responsáveis.</w:t>
                            </w:r>
                            <w:r>
                              <w:rPr>
                                <w:rFonts w:ascii="Arial" w:hAnsi="Arial" w:cs="Arial"/>
                                <w:bCs/>
                                <w:color w:val="FFFFFF" w:themeColor="background1"/>
                                <w:sz w:val="26"/>
                                <w:szCs w:val="26"/>
                              </w:rPr>
                              <w:t xml:space="preserve"> Como alguns controles estão sendo implementados pelo Ente, contas como estoque, passivo contingentes, entre outras situações, não estão com valores registrados nas Demonstrações contábeis</w:t>
                            </w:r>
                            <w:r w:rsidRPr="00430C14">
                              <w:rPr>
                                <w:rFonts w:ascii="Arial" w:hAnsi="Arial" w:cs="Arial"/>
                                <w:bCs/>
                                <w:color w:val="FFFFFF" w:themeColor="background1"/>
                                <w:sz w:val="26"/>
                                <w:szCs w:val="26"/>
                              </w:rPr>
                              <w:t>;</w:t>
                            </w:r>
                          </w:p>
                          <w:p w:rsidR="007349F9" w:rsidRPr="00430C14" w:rsidRDefault="007349F9" w:rsidP="003C4C07">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 xml:space="preserve">As </w:t>
                            </w:r>
                            <w:r w:rsidRPr="00430C14">
                              <w:rPr>
                                <w:rFonts w:ascii="Arial" w:hAnsi="Arial" w:cs="Arial"/>
                                <w:bCs/>
                                <w:color w:val="FFFFFF" w:themeColor="background1"/>
                                <w:sz w:val="26"/>
                                <w:szCs w:val="26"/>
                              </w:rPr>
                              <w:t>Notas Explicativas acompanham as Demonstrações Contábeis</w:t>
                            </w:r>
                            <w:r>
                              <w:rPr>
                                <w:rFonts w:ascii="Arial" w:hAnsi="Arial" w:cs="Arial"/>
                                <w:bCs/>
                                <w:color w:val="FFFFFF" w:themeColor="background1"/>
                                <w:sz w:val="26"/>
                                <w:szCs w:val="26"/>
                              </w:rPr>
                              <w:t xml:space="preserve"> e foram elaboradas buscando atender a legislação vigente</w:t>
                            </w:r>
                            <w:r w:rsidRPr="00430C14">
                              <w:rPr>
                                <w:rFonts w:ascii="Arial" w:hAnsi="Arial" w:cs="Arial"/>
                                <w:bCs/>
                                <w:color w:val="FFFFFF" w:themeColor="background1"/>
                                <w:sz w:val="26"/>
                                <w:szCs w:val="26"/>
                              </w:rPr>
                              <w:t>;</w:t>
                            </w:r>
                          </w:p>
                          <w:p w:rsidR="007349F9" w:rsidRDefault="007349F9" w:rsidP="003C4C07">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Todos os registros foram realizados com base em documentação de suporte ou na medida em que foram encaminhadas ao setor contábil e ou tomada o devido conhecimento por este.</w:t>
                            </w:r>
                          </w:p>
                          <w:p w:rsidR="007349F9" w:rsidRPr="001F7E28" w:rsidRDefault="007349F9" w:rsidP="00833C81">
                            <w:pPr>
                              <w:autoSpaceDE w:val="0"/>
                              <w:autoSpaceDN w:val="0"/>
                              <w:adjustRightInd w:val="0"/>
                              <w:spacing w:line="240" w:lineRule="auto"/>
                              <w:jc w:val="both"/>
                              <w:rPr>
                                <w:rFonts w:ascii="Arial" w:hAnsi="Arial" w:cs="Arial"/>
                                <w:bCs/>
                                <w:color w:val="FFFFFF" w:themeColor="background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Arredondado 2" o:spid="_x0000_s1026" style="position:absolute;left:0;text-align:left;margin-left:-23.55pt;margin-top:-11.85pt;width:489.75pt;height:5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" fillcolor="#4bacc6 [3208]" strokecolor="white [3212]" strokeweight="2pt">
                <v:path arrowok="t"/>
                <v:textbox>
                  <w:txbxContent>
                    <w:p w:rsidR="007349F9" w:rsidRPr="00430C14" w:rsidRDefault="007349F9" w:rsidP="003C4C07">
                      <w:pPr>
                        <w:autoSpaceDE w:val="0"/>
                        <w:autoSpaceDN w:val="0"/>
                        <w:adjustRightInd w:val="0"/>
                        <w:spacing w:line="240" w:lineRule="auto"/>
                        <w:jc w:val="center"/>
                        <w:rPr>
                          <w:rFonts w:ascii="Arial" w:hAnsi="Arial" w:cs="Arial"/>
                          <w:b/>
                          <w:bCs/>
                          <w:color w:val="FFFFFF" w:themeColor="background1"/>
                          <w:sz w:val="26"/>
                          <w:szCs w:val="26"/>
                        </w:rPr>
                      </w:pPr>
                      <w:r w:rsidRPr="00430C14">
                        <w:rPr>
                          <w:rFonts w:ascii="Arial" w:hAnsi="Arial" w:cs="Arial"/>
                          <w:b/>
                          <w:bCs/>
                          <w:color w:val="FFFFFF" w:themeColor="background1"/>
                          <w:sz w:val="26"/>
                          <w:szCs w:val="26"/>
                        </w:rPr>
                        <w:t>DECLARAÇÃO COM RESSALVAS</w:t>
                      </w:r>
                    </w:p>
                    <w:p w:rsidR="007349F9" w:rsidRDefault="007349F9" w:rsidP="003C4C07">
                      <w:pPr>
                        <w:autoSpaceDE w:val="0"/>
                        <w:autoSpaceDN w:val="0"/>
                        <w:adjustRightInd w:val="0"/>
                        <w:spacing w:line="240" w:lineRule="auto"/>
                        <w:jc w:val="both"/>
                        <w:rPr>
                          <w:rFonts w:ascii="Arial" w:hAnsi="Arial" w:cs="Arial"/>
                          <w:color w:val="FFFFFF" w:themeColor="background1"/>
                          <w:sz w:val="26"/>
                          <w:szCs w:val="26"/>
                        </w:rPr>
                      </w:pPr>
                      <w:r w:rsidRPr="00430C14">
                        <w:rPr>
                          <w:rFonts w:ascii="Arial" w:hAnsi="Arial" w:cs="Arial"/>
                          <w:color w:val="FFFFFF" w:themeColor="background1"/>
                          <w:sz w:val="26"/>
                          <w:szCs w:val="26"/>
                        </w:rPr>
                        <w:t>Com base na análise dos Demonstrativos Contábeis, DECLARO que os mesmos</w:t>
                      </w:r>
                      <w:r w:rsidRPr="006A12A9">
                        <w:rPr>
                          <w:rFonts w:ascii="Arial" w:hAnsi="Arial" w:cs="Arial"/>
                          <w:color w:val="FFFFFF" w:themeColor="background1"/>
                          <w:sz w:val="26"/>
                          <w:szCs w:val="26"/>
                        </w:rPr>
                        <w:t xml:space="preserve"> </w:t>
                      </w:r>
                      <w:r w:rsidRPr="00430C14">
                        <w:rPr>
                          <w:rFonts w:ascii="Arial" w:hAnsi="Arial" w:cs="Arial"/>
                          <w:color w:val="FFFFFF" w:themeColor="background1"/>
                          <w:sz w:val="26"/>
                          <w:szCs w:val="26"/>
                        </w:rPr>
                        <w:t>REFLETEM ADEQUADAMENTE a situação ORÇAMEN</w:t>
                      </w:r>
                      <w:r>
                        <w:rPr>
                          <w:rFonts w:ascii="Arial" w:hAnsi="Arial" w:cs="Arial"/>
                          <w:color w:val="FFFFFF" w:themeColor="background1"/>
                          <w:sz w:val="26"/>
                          <w:szCs w:val="26"/>
                        </w:rPr>
                        <w:t>TÁRIA, FINANCEIRA e PATRIMONIAL</w:t>
                      </w:r>
                      <w:r w:rsidRPr="00430C14">
                        <w:rPr>
                          <w:rFonts w:ascii="Arial" w:hAnsi="Arial" w:cs="Arial"/>
                          <w:color w:val="FFFFFF" w:themeColor="background1"/>
                          <w:sz w:val="26"/>
                          <w:szCs w:val="26"/>
                        </w:rPr>
                        <w:t xml:space="preserve">. </w:t>
                      </w:r>
                      <w:r>
                        <w:rPr>
                          <w:rFonts w:ascii="Arial" w:hAnsi="Arial" w:cs="Arial"/>
                          <w:color w:val="FFFFFF" w:themeColor="background1"/>
                          <w:sz w:val="26"/>
                          <w:szCs w:val="26"/>
                        </w:rPr>
                        <w:t>As ressalvas se referem a situação Patrimonial.</w:t>
                      </w:r>
                    </w:p>
                    <w:p w:rsidR="007349F9" w:rsidRDefault="007349F9" w:rsidP="003C4C07">
                      <w:pPr>
                        <w:pStyle w:val="PargrafodaLista"/>
                        <w:numPr>
                          <w:ilvl w:val="0"/>
                          <w:numId w:val="22"/>
                        </w:numPr>
                        <w:autoSpaceDE w:val="0"/>
                        <w:autoSpaceDN w:val="0"/>
                        <w:adjustRightInd w:val="0"/>
                        <w:spacing w:line="240" w:lineRule="auto"/>
                        <w:jc w:val="both"/>
                        <w:rPr>
                          <w:rFonts w:ascii="Arial" w:hAnsi="Arial" w:cs="Arial"/>
                          <w:color w:val="FFFFFF" w:themeColor="background1"/>
                          <w:sz w:val="26"/>
                          <w:szCs w:val="26"/>
                        </w:rPr>
                      </w:pPr>
                      <w:r>
                        <w:rPr>
                          <w:rFonts w:ascii="Arial" w:hAnsi="Arial" w:cs="Arial"/>
                          <w:color w:val="FFFFFF" w:themeColor="background1"/>
                          <w:sz w:val="26"/>
                          <w:szCs w:val="26"/>
                        </w:rPr>
                        <w:t>As restrições de ordem Contábeis do exercício de 2019, considerando o grau de relevância e a materialidade dos valores envolvidos são:</w:t>
                      </w:r>
                    </w:p>
                    <w:p w:rsidR="007349F9" w:rsidRPr="006D0EE7" w:rsidRDefault="007349F9" w:rsidP="003C4C07">
                      <w:pPr>
                        <w:pStyle w:val="PargrafodaLista"/>
                        <w:numPr>
                          <w:ilvl w:val="0"/>
                          <w:numId w:val="23"/>
                        </w:numPr>
                        <w:autoSpaceDE w:val="0"/>
                        <w:autoSpaceDN w:val="0"/>
                        <w:adjustRightInd w:val="0"/>
                        <w:spacing w:line="240" w:lineRule="auto"/>
                        <w:jc w:val="both"/>
                        <w:rPr>
                          <w:rFonts w:ascii="Arial" w:hAnsi="Arial" w:cs="Arial"/>
                          <w:color w:val="FF0000"/>
                          <w:sz w:val="26"/>
                          <w:szCs w:val="26"/>
                        </w:rPr>
                      </w:pPr>
                      <w:r w:rsidRPr="006D0EE7">
                        <w:rPr>
                          <w:rFonts w:ascii="Arial" w:hAnsi="Arial" w:cs="Arial"/>
                          <w:color w:val="FF0000"/>
                          <w:sz w:val="26"/>
                          <w:szCs w:val="26"/>
                        </w:rPr>
                        <w:t>não contabilização do controle de estoque;</w:t>
                      </w:r>
                    </w:p>
                    <w:p w:rsidR="007349F9" w:rsidRPr="006D0EE7" w:rsidRDefault="007349F9" w:rsidP="003C4C07">
                      <w:pPr>
                        <w:pStyle w:val="PargrafodaLista"/>
                        <w:numPr>
                          <w:ilvl w:val="0"/>
                          <w:numId w:val="23"/>
                        </w:numPr>
                        <w:autoSpaceDE w:val="0"/>
                        <w:autoSpaceDN w:val="0"/>
                        <w:adjustRightInd w:val="0"/>
                        <w:spacing w:line="240" w:lineRule="auto"/>
                        <w:jc w:val="both"/>
                        <w:rPr>
                          <w:rFonts w:ascii="Arial" w:hAnsi="Arial" w:cs="Arial"/>
                          <w:color w:val="FF0000"/>
                          <w:sz w:val="26"/>
                          <w:szCs w:val="26"/>
                        </w:rPr>
                      </w:pPr>
                      <w:r w:rsidRPr="006D0EE7">
                        <w:rPr>
                          <w:rFonts w:ascii="Arial" w:hAnsi="Arial" w:cs="Arial"/>
                          <w:color w:val="FF0000"/>
                          <w:sz w:val="26"/>
                          <w:szCs w:val="26"/>
                        </w:rPr>
                        <w:t>não contabilização das demandas judiciais.</w:t>
                      </w:r>
                    </w:p>
                    <w:p w:rsidR="007349F9" w:rsidRPr="00430C14" w:rsidRDefault="007349F9" w:rsidP="003C4C07">
                      <w:pPr>
                        <w:autoSpaceDE w:val="0"/>
                        <w:autoSpaceDN w:val="0"/>
                        <w:adjustRightInd w:val="0"/>
                        <w:spacing w:line="240" w:lineRule="auto"/>
                        <w:ind w:left="720"/>
                        <w:jc w:val="both"/>
                        <w:rPr>
                          <w:rFonts w:ascii="Arial" w:hAnsi="Arial" w:cs="Arial"/>
                          <w:bCs/>
                          <w:color w:val="FFFFFF" w:themeColor="background1"/>
                          <w:sz w:val="26"/>
                          <w:szCs w:val="26"/>
                        </w:rPr>
                      </w:pPr>
                      <w:r>
                        <w:rPr>
                          <w:rFonts w:ascii="Arial" w:hAnsi="Arial" w:cs="Arial"/>
                          <w:color w:val="FFFFFF" w:themeColor="background1"/>
                          <w:sz w:val="26"/>
                          <w:szCs w:val="26"/>
                        </w:rPr>
                        <w:t>A falta desses registros não causou nenhum prejuízo ao Ente Público. O registro não foi realizado tendo em vista o não recebimento pelo setor contábil, de documentos oficiais dos setores responsáveis.</w:t>
                      </w:r>
                      <w:r>
                        <w:rPr>
                          <w:rFonts w:ascii="Arial" w:hAnsi="Arial" w:cs="Arial"/>
                          <w:bCs/>
                          <w:color w:val="FFFFFF" w:themeColor="background1"/>
                          <w:sz w:val="26"/>
                          <w:szCs w:val="26"/>
                        </w:rPr>
                        <w:t xml:space="preserve"> Como alguns controles estão sendo implementados pelo Ente, contas como estoque, passivo contingentes, entre outras situações, não estão com valores registrados nas Demonstrações contábeis</w:t>
                      </w:r>
                      <w:r w:rsidRPr="00430C14">
                        <w:rPr>
                          <w:rFonts w:ascii="Arial" w:hAnsi="Arial" w:cs="Arial"/>
                          <w:bCs/>
                          <w:color w:val="FFFFFF" w:themeColor="background1"/>
                          <w:sz w:val="26"/>
                          <w:szCs w:val="26"/>
                        </w:rPr>
                        <w:t>;</w:t>
                      </w:r>
                    </w:p>
                    <w:p w:rsidR="007349F9" w:rsidRPr="00430C14" w:rsidRDefault="007349F9" w:rsidP="003C4C07">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 xml:space="preserve">As </w:t>
                      </w:r>
                      <w:r w:rsidRPr="00430C14">
                        <w:rPr>
                          <w:rFonts w:ascii="Arial" w:hAnsi="Arial" w:cs="Arial"/>
                          <w:bCs/>
                          <w:color w:val="FFFFFF" w:themeColor="background1"/>
                          <w:sz w:val="26"/>
                          <w:szCs w:val="26"/>
                        </w:rPr>
                        <w:t>Notas Explicativas acompanham as Demonstrações Contábeis</w:t>
                      </w:r>
                      <w:r>
                        <w:rPr>
                          <w:rFonts w:ascii="Arial" w:hAnsi="Arial" w:cs="Arial"/>
                          <w:bCs/>
                          <w:color w:val="FFFFFF" w:themeColor="background1"/>
                          <w:sz w:val="26"/>
                          <w:szCs w:val="26"/>
                        </w:rPr>
                        <w:t xml:space="preserve"> e foram elaboradas buscando atender a legislação vigente</w:t>
                      </w:r>
                      <w:r w:rsidRPr="00430C14">
                        <w:rPr>
                          <w:rFonts w:ascii="Arial" w:hAnsi="Arial" w:cs="Arial"/>
                          <w:bCs/>
                          <w:color w:val="FFFFFF" w:themeColor="background1"/>
                          <w:sz w:val="26"/>
                          <w:szCs w:val="26"/>
                        </w:rPr>
                        <w:t>;</w:t>
                      </w:r>
                    </w:p>
                    <w:p w:rsidR="007349F9" w:rsidRDefault="007349F9" w:rsidP="003C4C07">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Todos os registros foram realizados com base em documentação de suporte ou na medida em que foram encaminhadas ao setor contábil e ou tomada o devido conhecimento por este.</w:t>
                      </w:r>
                    </w:p>
                    <w:p w:rsidR="007349F9" w:rsidRPr="001F7E28" w:rsidRDefault="007349F9" w:rsidP="00833C81">
                      <w:pPr>
                        <w:autoSpaceDE w:val="0"/>
                        <w:autoSpaceDN w:val="0"/>
                        <w:adjustRightInd w:val="0"/>
                        <w:spacing w:line="240" w:lineRule="auto"/>
                        <w:jc w:val="both"/>
                        <w:rPr>
                          <w:rFonts w:ascii="Arial" w:hAnsi="Arial" w:cs="Arial"/>
                          <w:bCs/>
                          <w:color w:val="FFFFFF" w:themeColor="background1"/>
                          <w:sz w:val="26"/>
                          <w:szCs w:val="26"/>
                        </w:rPr>
                      </w:pPr>
                    </w:p>
                  </w:txbxContent>
                </v:textbox>
              </v:roundrect>
            </w:pict>
          </mc:Fallback>
        </mc:AlternateContent>
      </w: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7EBA" w:rsidRDefault="008A7EBA"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D00401" w:rsidRDefault="00D00401"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7349F9" w:rsidRDefault="007349F9"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A808DF" w:rsidRDefault="00A808DF" w:rsidP="00430C14">
      <w:pPr>
        <w:pStyle w:val="PargrafodaLista"/>
        <w:autoSpaceDE w:val="0"/>
        <w:autoSpaceDN w:val="0"/>
        <w:adjustRightInd w:val="0"/>
        <w:spacing w:after="0" w:line="240" w:lineRule="auto"/>
        <w:ind w:left="360"/>
        <w:rPr>
          <w:rFonts w:ascii="Arial" w:hAnsi="Arial" w:cs="Arial"/>
          <w:b/>
          <w:bCs/>
          <w:color w:val="FFFFFF" w:themeColor="background1"/>
          <w:sz w:val="26"/>
          <w:szCs w:val="26"/>
        </w:rPr>
      </w:pPr>
    </w:p>
    <w:p w:rsidR="008A3226" w:rsidRPr="0093664A" w:rsidRDefault="008A3226" w:rsidP="008365B6">
      <w:pPr>
        <w:pStyle w:val="PargrafodaLista"/>
        <w:numPr>
          <w:ilvl w:val="0"/>
          <w:numId w:val="14"/>
        </w:numPr>
        <w:autoSpaceDE w:val="0"/>
        <w:autoSpaceDN w:val="0"/>
        <w:adjustRightInd w:val="0"/>
        <w:spacing w:after="0" w:line="240" w:lineRule="auto"/>
        <w:ind w:left="1418" w:right="1559" w:firstLine="0"/>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 xml:space="preserve">RESUMO DAS POLÍTICAS CONTÁBEIS SIGNIFICATIVAS </w:t>
      </w:r>
    </w:p>
    <w:p w:rsidR="0060731E" w:rsidRDefault="0060731E"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7C5270" w:rsidRDefault="001A008C"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Default="008A3226" w:rsidP="00476032">
      <w:pPr>
        <w:pStyle w:val="PargrafodaLista"/>
        <w:numPr>
          <w:ilvl w:val="1"/>
          <w:numId w:val="14"/>
        </w:numPr>
        <w:autoSpaceDE w:val="0"/>
        <w:autoSpaceDN w:val="0"/>
        <w:adjustRightInd w:val="0"/>
        <w:spacing w:after="0" w:line="240" w:lineRule="auto"/>
        <w:ind w:left="1418" w:right="1559" w:firstLine="0"/>
        <w:jc w:val="both"/>
        <w:rPr>
          <w:rFonts w:ascii="Arial" w:hAnsi="Arial" w:cs="Arial"/>
          <w:b/>
          <w:bCs/>
          <w:color w:val="215868" w:themeColor="accent5" w:themeShade="80"/>
          <w:sz w:val="24"/>
          <w:szCs w:val="24"/>
        </w:rPr>
      </w:pPr>
      <w:r w:rsidRPr="00770D57">
        <w:rPr>
          <w:rFonts w:ascii="Arial" w:hAnsi="Arial" w:cs="Arial"/>
          <w:b/>
          <w:bCs/>
          <w:color w:val="215868" w:themeColor="accent5" w:themeShade="80"/>
          <w:sz w:val="24"/>
          <w:szCs w:val="24"/>
        </w:rPr>
        <w:t>Bases de mensuração utilizadas</w:t>
      </w:r>
    </w:p>
    <w:p w:rsidR="00770D57"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8A3226" w:rsidRPr="001E53A3"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lang w:val="es-ES_tradnl"/>
        </w:rPr>
      </w:pPr>
      <w:r w:rsidRPr="001E53A3">
        <w:rPr>
          <w:rFonts w:ascii="Segoe Script" w:hAnsi="Segoe Script" w:cs="Arial"/>
          <w:b/>
          <w:color w:val="984806" w:themeColor="accent6" w:themeShade="80"/>
          <w:sz w:val="26"/>
          <w:szCs w:val="26"/>
          <w:lang w:val="es-ES_tradnl"/>
        </w:rPr>
        <w:t>ATIVOS</w:t>
      </w: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A008C"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Pr>
          <w:rFonts w:ascii="Arial" w:hAnsi="Arial" w:cs="Arial"/>
          <w:color w:val="215868" w:themeColor="accent5" w:themeShade="80"/>
          <w:sz w:val="24"/>
          <w:szCs w:val="24"/>
        </w:rPr>
        <w:t>Ativo</w:t>
      </w:r>
      <w:r>
        <w:rPr>
          <w:rFonts w:ascii="Arial" w:hAnsi="Arial" w:cs="Arial"/>
          <w:color w:val="215868" w:themeColor="accent5" w:themeShade="80"/>
          <w:sz w:val="24"/>
          <w:szCs w:val="24"/>
        </w:rPr>
        <w:br/>
      </w:r>
      <w:proofErr w:type="spellStart"/>
      <w:r w:rsidRPr="00991D69">
        <w:rPr>
          <w:rFonts w:ascii="Arial" w:hAnsi="Arial" w:cs="Arial"/>
          <w:sz w:val="24"/>
          <w:szCs w:val="24"/>
        </w:rPr>
        <w:t>Ativo</w:t>
      </w:r>
      <w:proofErr w:type="spellEnd"/>
      <w:r w:rsidRPr="00991D69">
        <w:rPr>
          <w:rFonts w:ascii="Arial" w:hAnsi="Arial" w:cs="Arial"/>
          <w:sz w:val="24"/>
          <w:szCs w:val="24"/>
        </w:rPr>
        <w:t xml:space="preserve"> é um recurso controlado no presente pela entidade como resultado de evento passado</w:t>
      </w:r>
      <w:r>
        <w:rPr>
          <w:rFonts w:ascii="Arial" w:hAnsi="Arial" w:cs="Arial"/>
          <w:sz w:val="24"/>
          <w:szCs w:val="24"/>
        </w:rPr>
        <w:t>.</w:t>
      </w:r>
      <w:r w:rsidRPr="00991D69">
        <w:rPr>
          <w:rFonts w:ascii="Arial" w:hAnsi="Arial" w:cs="Arial"/>
          <w:sz w:val="24"/>
          <w:szCs w:val="24"/>
        </w:rPr>
        <w:br/>
      </w:r>
      <w:r w:rsidRPr="00991D69">
        <w:rPr>
          <w:rFonts w:ascii="Arial" w:hAnsi="Arial" w:cs="Arial"/>
          <w:sz w:val="24"/>
          <w:szCs w:val="24"/>
        </w:rPr>
        <w:br/>
      </w:r>
      <w:r w:rsidR="008A3226" w:rsidRPr="001A008C">
        <w:rPr>
          <w:rFonts w:ascii="Arial" w:hAnsi="Arial" w:cs="Arial"/>
          <w:color w:val="215868" w:themeColor="accent5" w:themeShade="80"/>
          <w:sz w:val="24"/>
          <w:szCs w:val="24"/>
        </w:rPr>
        <w:t>Disponibilidades</w:t>
      </w: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r w:rsidRPr="001A008C">
        <w:rPr>
          <w:rFonts w:ascii="Arial" w:hAnsi="Arial" w:cs="Arial"/>
          <w:sz w:val="24"/>
          <w:szCs w:val="24"/>
        </w:rPr>
        <w:t xml:space="preserve">As disponibilidades são mensuradas ou avaliadas pelo valor original. As aplicações financeiras de liquidez imediata são mensuradas ou avaliadas pelo valor original, atualizadas até a data do Balanço Patrimonial. As atualizações apuradas são contabilizadas em contas de </w:t>
      </w:r>
      <w:r w:rsidR="00241D39" w:rsidRPr="001A008C">
        <w:rPr>
          <w:rFonts w:ascii="Arial" w:hAnsi="Arial" w:cs="Arial"/>
          <w:sz w:val="24"/>
          <w:szCs w:val="24"/>
        </w:rPr>
        <w:t>resultado. O</w:t>
      </w:r>
      <w:r w:rsidRPr="001A008C">
        <w:rPr>
          <w:rFonts w:ascii="Arial" w:hAnsi="Arial" w:cs="Arial"/>
          <w:sz w:val="24"/>
          <w:szCs w:val="24"/>
        </w:rPr>
        <w:t xml:space="preserve"> Disponível contempla o numerário e outros bens e direitos com maior capacidade de conversibilidade em moeda e está segmentado em moeda nacional.</w:t>
      </w: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A008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A008C">
        <w:rPr>
          <w:rFonts w:ascii="Arial" w:hAnsi="Arial" w:cs="Arial"/>
          <w:color w:val="215868" w:themeColor="accent5" w:themeShade="80"/>
          <w:sz w:val="24"/>
          <w:szCs w:val="24"/>
        </w:rPr>
        <w:t>Direitos, créditos e valores a longo prazo</w:t>
      </w: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r w:rsidRPr="001A008C">
        <w:rPr>
          <w:rFonts w:ascii="Arial" w:hAnsi="Arial" w:cs="Arial"/>
          <w:sz w:val="24"/>
          <w:szCs w:val="24"/>
        </w:rPr>
        <w:t>Os direitos, os títulos de créditos são mensurados ou avaliados pelo valor original. Os riscos de recebimento de direitos são reconhecidos em conta de ajuste, a qual será reduzida ou anulada quando deixarem de existir os motivos que a originaram. Os direitos, os títulos de crédito prefixadas são ajustados a valor presente. Os direitos, os títulos de crédito pós-fixadas são ajustados considerando-se todos os encargos incorridos até a data de encerramento do balanço. As atualizações e os ajustes apurados são contabilizados em contas de resultado.</w:t>
      </w:r>
    </w:p>
    <w:p w:rsidR="008A3226" w:rsidRPr="001A008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A008C">
        <w:rPr>
          <w:rFonts w:ascii="Arial" w:hAnsi="Arial" w:cs="Arial"/>
          <w:color w:val="215868" w:themeColor="accent5" w:themeShade="80"/>
          <w:sz w:val="24"/>
          <w:szCs w:val="24"/>
        </w:rPr>
        <w:lastRenderedPageBreak/>
        <w:t xml:space="preserve"> </w:t>
      </w:r>
    </w:p>
    <w:p w:rsidR="008A3226" w:rsidRPr="001A008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A008C">
        <w:rPr>
          <w:rFonts w:ascii="Arial" w:hAnsi="Arial" w:cs="Arial"/>
          <w:color w:val="215868" w:themeColor="accent5" w:themeShade="80"/>
          <w:sz w:val="24"/>
          <w:szCs w:val="24"/>
        </w:rPr>
        <w:t>Imobilizado</w:t>
      </w: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r w:rsidRPr="001A008C">
        <w:rPr>
          <w:rFonts w:ascii="Arial" w:hAnsi="Arial" w:cs="Arial"/>
          <w:sz w:val="24"/>
          <w:szCs w:val="24"/>
        </w:rPr>
        <w:t>O ativo imobilizado, incluindo os gastos adicionais ou complementares, é mensurado ou avaliado, inicialmente, com base no valor de aquisição, produção ou construção e, em se tratando de ativos imobilizados obtidos a título gratuito, o valor resultante da avaliação obtida com base em procedimento técnico ou o valor patrimonial definido nos termos da doação.</w:t>
      </w: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A008C" w:rsidRDefault="008A3226" w:rsidP="008365B6">
      <w:pPr>
        <w:autoSpaceDE w:val="0"/>
        <w:autoSpaceDN w:val="0"/>
        <w:adjustRightInd w:val="0"/>
        <w:spacing w:after="0" w:line="240" w:lineRule="auto"/>
        <w:ind w:left="1418" w:right="1559"/>
        <w:jc w:val="both"/>
        <w:rPr>
          <w:rFonts w:ascii="Arial" w:hAnsi="Arial" w:cs="Arial"/>
          <w:sz w:val="24"/>
          <w:szCs w:val="24"/>
        </w:rPr>
      </w:pPr>
      <w:r w:rsidRPr="001A008C">
        <w:rPr>
          <w:rFonts w:ascii="Arial" w:hAnsi="Arial" w:cs="Arial"/>
          <w:sz w:val="24"/>
          <w:szCs w:val="24"/>
        </w:rPr>
        <w:t xml:space="preserve">O ativo imobilizado é reconhecido inicialmente com base no valor de aquisição, produção ou construção. </w:t>
      </w:r>
      <w:r w:rsidR="009E120F">
        <w:rPr>
          <w:rFonts w:ascii="Arial" w:hAnsi="Arial" w:cs="Arial"/>
          <w:sz w:val="24"/>
          <w:szCs w:val="24"/>
        </w:rPr>
        <w:t>O Fundo Municipal de Saúde</w:t>
      </w:r>
      <w:r w:rsidR="00D8570F" w:rsidRPr="001A008C">
        <w:rPr>
          <w:rFonts w:ascii="Arial" w:hAnsi="Arial" w:cs="Arial"/>
          <w:sz w:val="24"/>
          <w:szCs w:val="24"/>
        </w:rPr>
        <w:t xml:space="preserve"> </w:t>
      </w:r>
      <w:r w:rsidRPr="001A008C">
        <w:rPr>
          <w:rFonts w:ascii="Arial" w:hAnsi="Arial" w:cs="Arial"/>
          <w:sz w:val="24"/>
          <w:szCs w:val="24"/>
        </w:rPr>
        <w:t xml:space="preserve">de </w:t>
      </w:r>
      <w:r w:rsidR="00B6357B">
        <w:rPr>
          <w:rFonts w:ascii="Arial" w:hAnsi="Arial" w:cs="Arial"/>
          <w:sz w:val="24"/>
          <w:szCs w:val="24"/>
        </w:rPr>
        <w:t>Santa Terezinha do Progresso</w:t>
      </w:r>
      <w:r w:rsidRPr="001A008C">
        <w:rPr>
          <w:rFonts w:ascii="Arial" w:hAnsi="Arial" w:cs="Arial"/>
          <w:sz w:val="24"/>
          <w:szCs w:val="24"/>
        </w:rPr>
        <w:t>, SC</w:t>
      </w:r>
      <w:r w:rsidR="00D8570F">
        <w:rPr>
          <w:rFonts w:ascii="Arial" w:hAnsi="Arial" w:cs="Arial"/>
          <w:sz w:val="24"/>
          <w:szCs w:val="24"/>
        </w:rPr>
        <w:t>,</w:t>
      </w:r>
      <w:r w:rsidRPr="001A008C">
        <w:rPr>
          <w:rFonts w:ascii="Arial" w:hAnsi="Arial" w:cs="Arial"/>
          <w:sz w:val="24"/>
          <w:szCs w:val="24"/>
        </w:rPr>
        <w:t xml:space="preserve"> possui ativo imobilizado com vida útil econômica limitada, e por isso se sujeita ao cálculo da depreciação.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155EEC" w:rsidRPr="00203FF8" w:rsidRDefault="00155EEC" w:rsidP="00155EEC">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No ano de 2019</w:t>
      </w:r>
      <w:r>
        <w:rPr>
          <w:rFonts w:ascii="Arial" w:hAnsi="Arial" w:cs="Arial"/>
          <w:b/>
          <w:i/>
          <w:sz w:val="24"/>
          <w:szCs w:val="24"/>
        </w:rPr>
        <w:t xml:space="preserve">, foi realizado no Fundo Municipal de Saúde, </w:t>
      </w:r>
      <w:r w:rsidRPr="00203FF8">
        <w:rPr>
          <w:rFonts w:ascii="Arial" w:hAnsi="Arial" w:cs="Arial"/>
          <w:b/>
          <w:i/>
          <w:sz w:val="24"/>
          <w:szCs w:val="24"/>
        </w:rPr>
        <w:t>atualização física e contábil do patrimônio, definindo a data de corte 01 de dezembro de 2019.</w:t>
      </w:r>
    </w:p>
    <w:p w:rsidR="00155EEC" w:rsidRPr="001A008C" w:rsidRDefault="00155EEC" w:rsidP="008365B6">
      <w:pPr>
        <w:autoSpaceDE w:val="0"/>
        <w:autoSpaceDN w:val="0"/>
        <w:adjustRightInd w:val="0"/>
        <w:spacing w:after="0" w:line="240" w:lineRule="auto"/>
        <w:ind w:left="1418" w:right="1559"/>
        <w:jc w:val="both"/>
        <w:rPr>
          <w:rFonts w:ascii="Arial" w:hAnsi="Arial" w:cs="Arial"/>
          <w:sz w:val="24"/>
          <w:szCs w:val="24"/>
        </w:rPr>
      </w:pPr>
    </w:p>
    <w:p w:rsidR="00155EEC" w:rsidRPr="001A008C" w:rsidRDefault="00F3137C" w:rsidP="00155EEC">
      <w:pPr>
        <w:pStyle w:val="SemEspaamento"/>
        <w:ind w:left="1418" w:right="1559"/>
        <w:jc w:val="both"/>
        <w:rPr>
          <w:rFonts w:ascii="Arial" w:hAnsi="Arial" w:cs="Arial"/>
          <w:sz w:val="24"/>
          <w:szCs w:val="24"/>
        </w:rPr>
      </w:pPr>
      <w:r>
        <w:rPr>
          <w:rFonts w:ascii="Arial" w:hAnsi="Arial" w:cs="Arial"/>
          <w:sz w:val="24"/>
          <w:szCs w:val="24"/>
        </w:rPr>
        <w:t>P</w:t>
      </w:r>
      <w:r w:rsidRPr="00097605">
        <w:rPr>
          <w:rFonts w:ascii="Arial" w:hAnsi="Arial" w:cs="Arial"/>
          <w:sz w:val="24"/>
          <w:szCs w:val="24"/>
        </w:rPr>
        <w:t>or meio do Decreto nº 149 de 13 de agosto de 2018</w:t>
      </w:r>
      <w:r w:rsidR="00155EEC" w:rsidRPr="007C0181">
        <w:rPr>
          <w:rFonts w:ascii="Arial" w:hAnsi="Arial" w:cs="Arial"/>
          <w:sz w:val="24"/>
          <w:szCs w:val="24"/>
        </w:rPr>
        <w:t>, foi</w:t>
      </w:r>
      <w:r w:rsidR="00155EEC" w:rsidRPr="001A008C">
        <w:rPr>
          <w:rFonts w:ascii="Arial" w:hAnsi="Arial" w:cs="Arial"/>
          <w:sz w:val="24"/>
          <w:szCs w:val="24"/>
        </w:rPr>
        <w:t xml:space="preserve"> criada comissão permanente de servidores, responsáveis pela atualização do patrimônio, bens móveis e imóveis, denominada, comissão para realizar os procedimentos contábeis patrimonial </w:t>
      </w:r>
      <w:r w:rsidR="00155EEC">
        <w:rPr>
          <w:rFonts w:ascii="Arial" w:hAnsi="Arial" w:cs="Arial"/>
          <w:sz w:val="24"/>
          <w:szCs w:val="24"/>
        </w:rPr>
        <w:t>do Fundo Municipal de Saúde</w:t>
      </w:r>
      <w:r w:rsidR="00155EEC" w:rsidRPr="001A008C">
        <w:rPr>
          <w:rFonts w:ascii="Arial" w:hAnsi="Arial" w:cs="Arial"/>
          <w:sz w:val="24"/>
          <w:szCs w:val="24"/>
        </w:rPr>
        <w:t xml:space="preserve"> de </w:t>
      </w:r>
      <w:r w:rsidR="00155EEC">
        <w:rPr>
          <w:rFonts w:ascii="Arial" w:hAnsi="Arial" w:cs="Arial"/>
          <w:sz w:val="24"/>
          <w:szCs w:val="24"/>
        </w:rPr>
        <w:t>Santa Terezinha do Progresso</w:t>
      </w:r>
      <w:r w:rsidR="00155EEC" w:rsidRPr="001A008C">
        <w:rPr>
          <w:rFonts w:ascii="Arial" w:hAnsi="Arial" w:cs="Arial"/>
          <w:sz w:val="24"/>
          <w:szCs w:val="24"/>
        </w:rPr>
        <w:t>, SC.</w:t>
      </w:r>
    </w:p>
    <w:p w:rsidR="00155EEC" w:rsidRDefault="00155EEC" w:rsidP="008365B6">
      <w:pPr>
        <w:autoSpaceDE w:val="0"/>
        <w:autoSpaceDN w:val="0"/>
        <w:adjustRightInd w:val="0"/>
        <w:spacing w:after="0" w:line="240" w:lineRule="auto"/>
        <w:ind w:left="1418" w:right="1559"/>
        <w:jc w:val="both"/>
        <w:rPr>
          <w:rFonts w:ascii="Arial" w:hAnsi="Arial" w:cs="Arial"/>
          <w:sz w:val="24"/>
          <w:szCs w:val="24"/>
        </w:rPr>
      </w:pPr>
    </w:p>
    <w:p w:rsidR="008A3226" w:rsidRPr="001A008C" w:rsidRDefault="008A3226" w:rsidP="008365B6">
      <w:pPr>
        <w:autoSpaceDE w:val="0"/>
        <w:autoSpaceDN w:val="0"/>
        <w:adjustRightInd w:val="0"/>
        <w:spacing w:after="0" w:line="240" w:lineRule="auto"/>
        <w:ind w:left="1418" w:right="1559"/>
        <w:jc w:val="both"/>
        <w:rPr>
          <w:rFonts w:ascii="Arial" w:hAnsi="Arial" w:cs="Arial"/>
          <w:color w:val="FF0000"/>
          <w:sz w:val="24"/>
          <w:szCs w:val="24"/>
        </w:rPr>
      </w:pPr>
      <w:r w:rsidRPr="001A008C">
        <w:rPr>
          <w:rFonts w:ascii="Arial" w:hAnsi="Arial" w:cs="Arial"/>
          <w:sz w:val="24"/>
          <w:szCs w:val="24"/>
        </w:rPr>
        <w:t xml:space="preserve">Ativos obtidos a títulos gratuito devem ser registrados pelo valor justo na data de sua aquisição, considerado o valor resultante da avaliação obtida com base em procedimento técnico ou valor patrimonial definido nos termos da doação. </w:t>
      </w:r>
    </w:p>
    <w:p w:rsidR="008A3226" w:rsidRPr="001A008C" w:rsidRDefault="008A3226" w:rsidP="008365B6">
      <w:pPr>
        <w:pStyle w:val="SemEspaamento"/>
        <w:ind w:left="1418" w:right="1559"/>
        <w:jc w:val="both"/>
        <w:rPr>
          <w:rFonts w:ascii="Arial" w:hAnsi="Arial" w:cs="Arial"/>
          <w:color w:val="FF0000"/>
          <w:sz w:val="24"/>
          <w:szCs w:val="24"/>
        </w:rPr>
      </w:pPr>
    </w:p>
    <w:p w:rsidR="008A3226" w:rsidRPr="001A008C" w:rsidRDefault="008A3226" w:rsidP="008365B6">
      <w:pPr>
        <w:pStyle w:val="SemEspaamento"/>
        <w:ind w:left="1418" w:right="1559"/>
        <w:jc w:val="both"/>
        <w:rPr>
          <w:rFonts w:ascii="Arial" w:hAnsi="Arial" w:cs="Arial"/>
          <w:sz w:val="24"/>
          <w:szCs w:val="24"/>
        </w:rPr>
      </w:pPr>
    </w:p>
    <w:p w:rsidR="000202AD" w:rsidRPr="00116D9A" w:rsidRDefault="000202AD" w:rsidP="000202AD">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Reconhecimento dos ativos</w:t>
      </w:r>
    </w:p>
    <w:p w:rsidR="000202AD" w:rsidRPr="00203FF8" w:rsidRDefault="000202AD" w:rsidP="000202AD">
      <w:pPr>
        <w:autoSpaceDE w:val="0"/>
        <w:autoSpaceDN w:val="0"/>
        <w:adjustRightInd w:val="0"/>
        <w:spacing w:after="0" w:line="240" w:lineRule="auto"/>
        <w:ind w:left="1418" w:right="1559"/>
        <w:jc w:val="both"/>
        <w:rPr>
          <w:rFonts w:ascii="Arial" w:hAnsi="Arial" w:cs="Arial"/>
        </w:rPr>
      </w:pPr>
      <w:r w:rsidRPr="00116D9A">
        <w:rPr>
          <w:rFonts w:ascii="Arial" w:hAnsi="Arial" w:cs="Arial"/>
        </w:rPr>
        <w:t xml:space="preserve">Em atendimento ao princípio da Oportunidade, as transações </w:t>
      </w:r>
      <w:r>
        <w:rPr>
          <w:rFonts w:ascii="Arial" w:hAnsi="Arial" w:cs="Arial"/>
        </w:rPr>
        <w:t>são</w:t>
      </w:r>
      <w:r w:rsidRPr="00116D9A">
        <w:rPr>
          <w:rFonts w:ascii="Arial" w:hAnsi="Arial" w:cs="Arial"/>
        </w:rPr>
        <w:t xml:space="preserve"> reconhecidas e registradas integralmente no momento em que ocorrerem e os registros da entidade, desde qu</w:t>
      </w:r>
      <w:r>
        <w:rPr>
          <w:rFonts w:ascii="Arial" w:hAnsi="Arial" w:cs="Arial"/>
        </w:rPr>
        <w:t>e estimáveis tecnicamente, são</w:t>
      </w:r>
      <w:r w:rsidRPr="00116D9A">
        <w:rPr>
          <w:rFonts w:ascii="Arial" w:hAnsi="Arial" w:cs="Arial"/>
        </w:rPr>
        <w:t xml:space="preserve"> efetuados, mesmo na hipótese de existir razoável certeza de sua ocorrência. Os registros contábeis das transações das entidades do setor público devem ser efetuados, considerando as relações </w:t>
      </w:r>
      <w:r w:rsidRPr="00203FF8">
        <w:rPr>
          <w:rFonts w:ascii="Arial" w:hAnsi="Arial" w:cs="Arial"/>
        </w:rPr>
        <w:t xml:space="preserve">jurídicas, econômicas e patrimoniais, prevalecendo, nos conflitos entre elas, a essência sobre a forma. </w:t>
      </w:r>
    </w:p>
    <w:p w:rsidR="000202AD" w:rsidRPr="00203FF8" w:rsidRDefault="000202AD" w:rsidP="000202AD">
      <w:pPr>
        <w:autoSpaceDE w:val="0"/>
        <w:autoSpaceDN w:val="0"/>
        <w:adjustRightInd w:val="0"/>
        <w:spacing w:after="0" w:line="240" w:lineRule="auto"/>
        <w:ind w:left="1418" w:right="1559"/>
        <w:jc w:val="both"/>
        <w:rPr>
          <w:rFonts w:ascii="Arial" w:hAnsi="Arial" w:cs="Arial"/>
          <w:i/>
          <w:color w:val="215868" w:themeColor="accent5" w:themeShade="80"/>
          <w:sz w:val="24"/>
          <w:szCs w:val="24"/>
        </w:rPr>
      </w:pPr>
    </w:p>
    <w:p w:rsidR="000202AD" w:rsidRPr="00203FF8" w:rsidRDefault="000202AD" w:rsidP="000202AD">
      <w:pPr>
        <w:autoSpaceDE w:val="0"/>
        <w:autoSpaceDN w:val="0"/>
        <w:adjustRightInd w:val="0"/>
        <w:spacing w:after="0" w:line="240" w:lineRule="auto"/>
        <w:ind w:left="1418" w:right="1559"/>
        <w:jc w:val="both"/>
        <w:rPr>
          <w:rFonts w:ascii="Arial" w:hAnsi="Arial" w:cs="Arial"/>
          <w:b/>
          <w:i/>
          <w:sz w:val="24"/>
          <w:szCs w:val="24"/>
        </w:rPr>
      </w:pPr>
      <w:r>
        <w:rPr>
          <w:rFonts w:ascii="Arial" w:hAnsi="Arial" w:cs="Arial"/>
          <w:b/>
          <w:i/>
          <w:sz w:val="24"/>
          <w:szCs w:val="24"/>
        </w:rPr>
        <w:lastRenderedPageBreak/>
        <w:t xml:space="preserve">No </w:t>
      </w:r>
      <w:r w:rsidRPr="00203FF8">
        <w:rPr>
          <w:rFonts w:ascii="Arial" w:hAnsi="Arial" w:cs="Arial"/>
          <w:b/>
          <w:i/>
          <w:sz w:val="24"/>
          <w:szCs w:val="24"/>
        </w:rPr>
        <w:t xml:space="preserve">processo de reconhecimento dos bens como ativos, ou baixa dos mesmos, foram consideradas necessárias às características de ser resultado de um evento passado, gerar benefício presente ou futuro, inerente a prestação de serviço público ou a exploração econômica, e, ser controlado. </w:t>
      </w:r>
    </w:p>
    <w:p w:rsidR="00155EEC" w:rsidRDefault="00155EE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155EEC" w:rsidRDefault="00155EE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155EEC" w:rsidRDefault="00155EE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A008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A008C">
        <w:rPr>
          <w:rFonts w:ascii="Arial" w:hAnsi="Arial" w:cs="Arial"/>
          <w:color w:val="215868" w:themeColor="accent5" w:themeShade="80"/>
          <w:sz w:val="24"/>
          <w:szCs w:val="24"/>
        </w:rPr>
        <w:t xml:space="preserve">Mensuração </w:t>
      </w:r>
    </w:p>
    <w:p w:rsidR="00155EEC" w:rsidRDefault="00155EEC" w:rsidP="00155EEC">
      <w:pPr>
        <w:pStyle w:val="Default"/>
        <w:ind w:left="1418" w:right="1559"/>
        <w:jc w:val="both"/>
        <w:rPr>
          <w:rFonts w:ascii="Arial" w:hAnsi="Arial" w:cs="Arial"/>
        </w:rPr>
      </w:pPr>
      <w:r w:rsidRPr="00116D9A">
        <w:rPr>
          <w:rFonts w:ascii="Arial" w:hAnsi="Arial" w:cs="Arial"/>
          <w:color w:val="auto"/>
        </w:rPr>
        <w:t xml:space="preserve">Consiste em determinar os valores pelos quais os elementos das demonstrações contábeis </w:t>
      </w:r>
      <w:r w:rsidRPr="00116D9A">
        <w:rPr>
          <w:rFonts w:ascii="Arial" w:hAnsi="Arial" w:cs="Arial"/>
        </w:rPr>
        <w:t xml:space="preserve">devem ser reconhecidos e apresentados nas demonstrações contábeis. Normalmente, o valor contábil abaixo do valor de mercado se deve a perda do poder aquisitivo da moeda desde a data da aquisição dos bens. Por sua vez, o valor contábil acima do valor de mercado, se deve ao não cálculo da depreciação, mantendo o ativo, sempre o valor original e não seu valor histórico. </w:t>
      </w:r>
    </w:p>
    <w:p w:rsidR="00155EEC" w:rsidRDefault="00155EEC" w:rsidP="00155EEC">
      <w:pPr>
        <w:pStyle w:val="Default"/>
        <w:ind w:left="1418" w:right="1559"/>
        <w:jc w:val="both"/>
        <w:rPr>
          <w:rFonts w:ascii="Arial" w:hAnsi="Arial" w:cs="Arial"/>
        </w:rPr>
      </w:pPr>
    </w:p>
    <w:p w:rsidR="00155EEC" w:rsidRPr="00203FF8" w:rsidRDefault="00155EEC" w:rsidP="00155EEC">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 xml:space="preserve">Em atendimento à orientação prevista nas normas, principalmente aos princípios do valor original e da continuidade, relativos ao assunto, o município de Santa Terezinha do Progresso, SC, adotou, </w:t>
      </w:r>
      <w:r>
        <w:rPr>
          <w:rFonts w:ascii="Arial" w:hAnsi="Arial" w:cs="Arial"/>
          <w:b/>
          <w:i/>
          <w:sz w:val="24"/>
          <w:szCs w:val="24"/>
        </w:rPr>
        <w:t xml:space="preserve">no Fundo Municipal de Saúde, </w:t>
      </w:r>
      <w:r w:rsidRPr="00203FF8">
        <w:rPr>
          <w:rFonts w:ascii="Arial" w:hAnsi="Arial" w:cs="Arial"/>
          <w:b/>
          <w:i/>
          <w:sz w:val="24"/>
          <w:szCs w:val="24"/>
        </w:rPr>
        <w:t xml:space="preserve">em 2019, </w:t>
      </w:r>
      <w:r>
        <w:rPr>
          <w:rFonts w:ascii="Arial" w:hAnsi="Arial" w:cs="Arial"/>
          <w:b/>
          <w:i/>
          <w:sz w:val="24"/>
          <w:szCs w:val="24"/>
        </w:rPr>
        <w:t>a revisão d</w:t>
      </w:r>
      <w:r w:rsidRPr="00203FF8">
        <w:rPr>
          <w:rFonts w:ascii="Arial" w:hAnsi="Arial" w:cs="Arial"/>
          <w:b/>
          <w:i/>
          <w:sz w:val="24"/>
          <w:szCs w:val="24"/>
        </w:rPr>
        <w:t>o valor justo</w:t>
      </w:r>
      <w:r>
        <w:rPr>
          <w:rFonts w:ascii="Arial" w:hAnsi="Arial" w:cs="Arial"/>
          <w:b/>
          <w:i/>
          <w:sz w:val="24"/>
          <w:szCs w:val="24"/>
        </w:rPr>
        <w:t>,</w:t>
      </w:r>
      <w:r w:rsidRPr="00203FF8">
        <w:rPr>
          <w:rFonts w:ascii="Arial" w:hAnsi="Arial" w:cs="Arial"/>
          <w:b/>
          <w:i/>
          <w:sz w:val="24"/>
          <w:szCs w:val="24"/>
        </w:rPr>
        <w:t xml:space="preserve"> como custo atribuído do ativo imobilizado</w:t>
      </w:r>
      <w:r>
        <w:rPr>
          <w:rFonts w:ascii="Arial" w:hAnsi="Arial" w:cs="Arial"/>
          <w:b/>
          <w:i/>
          <w:sz w:val="24"/>
          <w:szCs w:val="24"/>
        </w:rPr>
        <w:t>,</w:t>
      </w:r>
      <w:r w:rsidRPr="00203FF8">
        <w:rPr>
          <w:rFonts w:ascii="Arial" w:hAnsi="Arial" w:cs="Arial"/>
          <w:b/>
          <w:i/>
          <w:sz w:val="24"/>
          <w:szCs w:val="24"/>
        </w:rPr>
        <w:t xml:space="preserve"> dos bens que apresentavam valor contábil substancialmente superior ao seu valor justo, com base em pesquisa de mercado, considerando ainda a sua data de aquisição. </w:t>
      </w:r>
    </w:p>
    <w:p w:rsidR="00155EEC" w:rsidRPr="00203FF8" w:rsidRDefault="00155EEC" w:rsidP="00155EEC">
      <w:pPr>
        <w:autoSpaceDE w:val="0"/>
        <w:autoSpaceDN w:val="0"/>
        <w:adjustRightInd w:val="0"/>
        <w:spacing w:after="0" w:line="240" w:lineRule="auto"/>
        <w:ind w:left="1418" w:right="1559"/>
        <w:jc w:val="both"/>
        <w:rPr>
          <w:rFonts w:ascii="Arial" w:hAnsi="Arial" w:cs="Arial"/>
          <w:b/>
          <w:i/>
          <w:sz w:val="24"/>
          <w:szCs w:val="24"/>
        </w:rPr>
      </w:pPr>
    </w:p>
    <w:p w:rsidR="00155EEC" w:rsidRPr="00203FF8" w:rsidRDefault="00155EEC" w:rsidP="00155EEC">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A pesquisa de mercado, efetuada em 2019, encontra-se em poder do setor de patrimônio. A data de corte foi 01 de dezembro de 2019.</w:t>
      </w:r>
    </w:p>
    <w:p w:rsidR="008A3226" w:rsidRDefault="008A3226" w:rsidP="008365B6">
      <w:pPr>
        <w:pStyle w:val="NormalWeb"/>
        <w:autoSpaceDE w:val="0"/>
        <w:autoSpaceDN w:val="0"/>
        <w:adjustRightInd w:val="0"/>
        <w:spacing w:before="0" w:beforeAutospacing="0" w:after="0" w:afterAutospacing="0"/>
        <w:ind w:left="1418" w:right="1559"/>
        <w:jc w:val="both"/>
        <w:rPr>
          <w:rFonts w:ascii="Arial" w:hAnsi="Arial" w:cs="Arial"/>
          <w:b/>
          <w:color w:val="215868" w:themeColor="accent5" w:themeShade="80"/>
        </w:rPr>
      </w:pPr>
    </w:p>
    <w:p w:rsidR="00155EEC" w:rsidRPr="001A008C" w:rsidRDefault="00155EEC" w:rsidP="008365B6">
      <w:pPr>
        <w:pStyle w:val="NormalWeb"/>
        <w:autoSpaceDE w:val="0"/>
        <w:autoSpaceDN w:val="0"/>
        <w:adjustRightInd w:val="0"/>
        <w:spacing w:before="0" w:beforeAutospacing="0" w:after="0" w:afterAutospacing="0"/>
        <w:ind w:left="1418" w:right="1559"/>
        <w:jc w:val="both"/>
        <w:rPr>
          <w:rFonts w:ascii="Arial" w:hAnsi="Arial" w:cs="Arial"/>
          <w:b/>
          <w:color w:val="215868" w:themeColor="accent5" w:themeShade="80"/>
        </w:rPr>
      </w:pPr>
    </w:p>
    <w:p w:rsidR="008A3226" w:rsidRPr="001A008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A008C">
        <w:rPr>
          <w:rFonts w:ascii="Arial" w:hAnsi="Arial" w:cs="Arial"/>
          <w:color w:val="215868" w:themeColor="accent5" w:themeShade="80"/>
          <w:sz w:val="24"/>
          <w:szCs w:val="24"/>
        </w:rPr>
        <w:t xml:space="preserve">Depreciação </w:t>
      </w:r>
    </w:p>
    <w:p w:rsidR="00155EEC" w:rsidRDefault="00155EEC" w:rsidP="00155EEC">
      <w:pPr>
        <w:pStyle w:val="NormalWeb"/>
        <w:autoSpaceDE w:val="0"/>
        <w:autoSpaceDN w:val="0"/>
        <w:adjustRightInd w:val="0"/>
        <w:spacing w:before="0" w:beforeAutospacing="0"/>
        <w:ind w:left="1418" w:right="1559"/>
        <w:jc w:val="both"/>
        <w:rPr>
          <w:rFonts w:ascii="Arial" w:hAnsi="Arial" w:cs="Arial"/>
        </w:rPr>
      </w:pPr>
      <w:r>
        <w:rPr>
          <w:rFonts w:ascii="Arial" w:hAnsi="Arial" w:cs="Arial"/>
        </w:rPr>
        <w:t xml:space="preserve">A </w:t>
      </w:r>
      <w:r w:rsidRPr="006552D6">
        <w:rPr>
          <w:rFonts w:ascii="Arial" w:hAnsi="Arial" w:cs="Arial"/>
        </w:rPr>
        <w:t xml:space="preserve">administração pública municipal </w:t>
      </w:r>
      <w:r>
        <w:rPr>
          <w:rFonts w:ascii="Arial" w:hAnsi="Arial" w:cs="Arial"/>
        </w:rPr>
        <w:t xml:space="preserve">já </w:t>
      </w:r>
      <w:r w:rsidRPr="006552D6">
        <w:rPr>
          <w:rFonts w:ascii="Arial" w:hAnsi="Arial" w:cs="Arial"/>
        </w:rPr>
        <w:t>p</w:t>
      </w:r>
      <w:r>
        <w:rPr>
          <w:rFonts w:ascii="Arial" w:hAnsi="Arial" w:cs="Arial"/>
        </w:rPr>
        <w:t xml:space="preserve">raticava em 2019, </w:t>
      </w:r>
      <w:r w:rsidRPr="006552D6">
        <w:rPr>
          <w:rFonts w:ascii="Arial" w:hAnsi="Arial" w:cs="Arial"/>
        </w:rPr>
        <w:t xml:space="preserve">procedimentos para preservar </w:t>
      </w:r>
      <w:r>
        <w:rPr>
          <w:rFonts w:ascii="Arial" w:hAnsi="Arial" w:cs="Arial"/>
        </w:rPr>
        <w:t xml:space="preserve">de depreciação, porém, os bens já não estavam com </w:t>
      </w:r>
      <w:r w:rsidRPr="00116D9A">
        <w:rPr>
          <w:rFonts w:ascii="Arial" w:hAnsi="Arial" w:cs="Arial"/>
        </w:rPr>
        <w:t xml:space="preserve">base monetária </w:t>
      </w:r>
      <w:r>
        <w:rPr>
          <w:rFonts w:ascii="Arial" w:hAnsi="Arial" w:cs="Arial"/>
        </w:rPr>
        <w:t xml:space="preserve">confiável. Em 2019, foi realizado levantamento físico e atualização contábil do patrimônio imobilizado. </w:t>
      </w:r>
    </w:p>
    <w:p w:rsidR="00155EEC" w:rsidRPr="00203FF8" w:rsidRDefault="00155EEC" w:rsidP="00155EEC">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O administrador reiniciou o procedimento de depreciação no mês de dezembro de 2019, zerando</w:t>
      </w:r>
      <w:r>
        <w:rPr>
          <w:rFonts w:ascii="Arial" w:hAnsi="Arial" w:cs="Arial"/>
          <w:b/>
          <w:i/>
          <w:sz w:val="24"/>
          <w:szCs w:val="24"/>
        </w:rPr>
        <w:t>, no FMS,</w:t>
      </w:r>
      <w:r w:rsidRPr="00203FF8">
        <w:rPr>
          <w:rFonts w:ascii="Arial" w:hAnsi="Arial" w:cs="Arial"/>
          <w:b/>
          <w:i/>
          <w:sz w:val="24"/>
          <w:szCs w:val="24"/>
        </w:rPr>
        <w:t xml:space="preserve"> a depreciação dos bens já em uso, que </w:t>
      </w:r>
      <w:r w:rsidRPr="00203FF8">
        <w:rPr>
          <w:rFonts w:ascii="Arial" w:hAnsi="Arial" w:cs="Arial"/>
          <w:b/>
          <w:i/>
          <w:sz w:val="24"/>
          <w:szCs w:val="24"/>
        </w:rPr>
        <w:lastRenderedPageBreak/>
        <w:t xml:space="preserve">passaram a apresentar uma base monetária confiável, avaliados a valor atual de mercado (valor justo). </w:t>
      </w:r>
    </w:p>
    <w:p w:rsidR="00155EEC" w:rsidRDefault="00155EEC" w:rsidP="00155EEC">
      <w:pPr>
        <w:pStyle w:val="NormalWeb"/>
        <w:autoSpaceDE w:val="0"/>
        <w:autoSpaceDN w:val="0"/>
        <w:adjustRightInd w:val="0"/>
        <w:ind w:left="1418" w:right="1559"/>
        <w:jc w:val="both"/>
        <w:rPr>
          <w:rFonts w:ascii="Arial" w:hAnsi="Arial" w:cs="Arial"/>
        </w:rPr>
      </w:pPr>
      <w:r w:rsidRPr="00116D9A">
        <w:rPr>
          <w:rFonts w:ascii="Arial" w:hAnsi="Arial" w:cs="Arial"/>
        </w:rPr>
        <w:t xml:space="preserve">Somente após mensuração do valor dos ativos, para fins de ajuste inicial, pelo critério do valor justo como custo atribuído do ativo imobilizado dos bens, o Município de </w:t>
      </w:r>
      <w:r>
        <w:rPr>
          <w:rFonts w:ascii="Arial" w:hAnsi="Arial" w:cs="Arial"/>
          <w:bCs/>
        </w:rPr>
        <w:t>Santa Terezinha do Progresso</w:t>
      </w:r>
      <w:r>
        <w:rPr>
          <w:rFonts w:ascii="Arial" w:hAnsi="Arial" w:cs="Arial"/>
        </w:rPr>
        <w:t xml:space="preserve">, SC, adotou para </w:t>
      </w:r>
      <w:r w:rsidR="00D00401">
        <w:rPr>
          <w:rFonts w:ascii="Arial" w:hAnsi="Arial" w:cs="Arial"/>
        </w:rPr>
        <w:t xml:space="preserve">o </w:t>
      </w:r>
      <w:r>
        <w:rPr>
          <w:rFonts w:ascii="Arial" w:hAnsi="Arial" w:cs="Arial"/>
        </w:rPr>
        <w:t xml:space="preserve">FMS, </w:t>
      </w:r>
      <w:r w:rsidRPr="00116D9A">
        <w:rPr>
          <w:rFonts w:ascii="Arial" w:hAnsi="Arial" w:cs="Arial"/>
        </w:rPr>
        <w:t>o método de depreciação linear, com estabelecimento de valor residual e vida útil dos bens, de acordo com cada classe, atendendo ao disposto nas Normas Brasileiras de Contabilidade Aplicadas ao Setor Público e elaborada com base em pesquisa de mercado.</w:t>
      </w:r>
    </w:p>
    <w:p w:rsidR="00155EEC" w:rsidRDefault="00155EEC" w:rsidP="00155EEC">
      <w:pPr>
        <w:pStyle w:val="NormalWeb"/>
        <w:autoSpaceDE w:val="0"/>
        <w:autoSpaceDN w:val="0"/>
        <w:adjustRightInd w:val="0"/>
        <w:spacing w:before="0" w:beforeAutospacing="0"/>
        <w:ind w:left="1418" w:right="1559"/>
        <w:jc w:val="both"/>
        <w:rPr>
          <w:rFonts w:ascii="Arial" w:hAnsi="Arial" w:cs="Arial"/>
        </w:rPr>
      </w:pPr>
      <w:r w:rsidRPr="00A06B01">
        <w:rPr>
          <w:rFonts w:ascii="Arial" w:hAnsi="Arial" w:cs="Arial"/>
        </w:rPr>
        <w:t xml:space="preserve">O objetivo é o fiel cumprimento das Normas Brasileiras de Contabilidade, e para que a contabilidade demonstre a adequada situação patrimonial dos órgãos e entidades, em cumprimento as NBCASP. </w:t>
      </w:r>
    </w:p>
    <w:p w:rsidR="008A3226" w:rsidRPr="004B057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4B057C">
        <w:rPr>
          <w:rFonts w:ascii="Arial" w:hAnsi="Arial" w:cs="Arial"/>
          <w:color w:val="215868" w:themeColor="accent5" w:themeShade="80"/>
          <w:sz w:val="24"/>
          <w:szCs w:val="24"/>
        </w:rPr>
        <w:t xml:space="preserve">Redução do valor recuperável (impairment) </w:t>
      </w:r>
    </w:p>
    <w:p w:rsidR="008A3226" w:rsidRPr="004B057C" w:rsidRDefault="009E120F" w:rsidP="008365B6">
      <w:pPr>
        <w:autoSpaceDE w:val="0"/>
        <w:autoSpaceDN w:val="0"/>
        <w:adjustRightInd w:val="0"/>
        <w:spacing w:after="0" w:line="240" w:lineRule="auto"/>
        <w:ind w:left="1418" w:right="1559"/>
        <w:jc w:val="both"/>
        <w:rPr>
          <w:rFonts w:ascii="Arial" w:hAnsi="Arial" w:cs="Arial"/>
          <w:sz w:val="24"/>
          <w:szCs w:val="24"/>
        </w:rPr>
      </w:pPr>
      <w:r>
        <w:rPr>
          <w:rFonts w:ascii="Arial" w:hAnsi="Arial" w:cs="Arial"/>
          <w:sz w:val="24"/>
          <w:szCs w:val="24"/>
        </w:rPr>
        <w:t>O Fundo Municipal de Saúde</w:t>
      </w:r>
      <w:r w:rsidR="008A3226" w:rsidRPr="004B057C">
        <w:rPr>
          <w:rFonts w:ascii="Arial" w:hAnsi="Arial" w:cs="Arial"/>
          <w:sz w:val="24"/>
          <w:szCs w:val="24"/>
        </w:rPr>
        <w:t xml:space="preserve"> de </w:t>
      </w:r>
      <w:r w:rsidR="00B6357B">
        <w:rPr>
          <w:rFonts w:ascii="Arial" w:hAnsi="Arial" w:cs="Arial"/>
          <w:sz w:val="24"/>
          <w:szCs w:val="24"/>
        </w:rPr>
        <w:t>Santa Terezinha do Progresso</w:t>
      </w:r>
      <w:r w:rsidR="008A3226" w:rsidRPr="004B057C">
        <w:rPr>
          <w:rFonts w:ascii="Arial" w:hAnsi="Arial" w:cs="Arial"/>
          <w:sz w:val="24"/>
          <w:szCs w:val="24"/>
        </w:rPr>
        <w:t xml:space="preserve">, SC adota as tratativas das NBCASP, e manterá o valor contábil dos ativos de vida longa, principalmente o imobilizado a ser mantido e utilizado nas operações, com o objetivo de determinar e avaliar sempre que eventos ou mudanças nas circunstâncias indicarem que o valor contábil de um ativo ou grupo de ativos não poderá ser recuperado. </w:t>
      </w:r>
    </w:p>
    <w:p w:rsidR="008A3226" w:rsidRPr="004B057C" w:rsidRDefault="008A3226" w:rsidP="008365B6">
      <w:pPr>
        <w:pStyle w:val="NormalWeb"/>
        <w:spacing w:before="0" w:beforeAutospacing="0" w:after="0" w:afterAutospacing="0"/>
        <w:ind w:left="1418" w:right="1559"/>
        <w:jc w:val="both"/>
        <w:rPr>
          <w:rFonts w:ascii="Arial" w:hAnsi="Arial" w:cs="Arial"/>
        </w:rPr>
      </w:pPr>
      <w:r w:rsidRPr="004B057C">
        <w:rPr>
          <w:rFonts w:ascii="Arial" w:hAnsi="Arial" w:cs="Arial"/>
          <w:bCs/>
        </w:rPr>
        <w:t>Redução a valor recuperável</w:t>
      </w:r>
      <w:r w:rsidRPr="004B057C">
        <w:rPr>
          <w:rFonts w:ascii="Arial" w:hAnsi="Arial" w:cs="Arial"/>
          <w:b/>
          <w:bCs/>
        </w:rPr>
        <w:t xml:space="preserve"> </w:t>
      </w:r>
      <w:r w:rsidRPr="004B057C">
        <w:rPr>
          <w:rFonts w:ascii="Arial" w:hAnsi="Arial" w:cs="Arial"/>
        </w:rPr>
        <w:t xml:space="preserve">é o ajuste ao valor de mercado ou de consenso entre as partes para bens do ativo, quando </w:t>
      </w:r>
      <w:r w:rsidRPr="004B057C">
        <w:rPr>
          <w:rFonts w:ascii="Arial" w:hAnsi="Arial" w:cs="Arial"/>
          <w:bCs/>
        </w:rPr>
        <w:t>esse for inferior ao valor líquido contábil</w:t>
      </w:r>
      <w:r w:rsidRPr="004B057C">
        <w:rPr>
          <w:rFonts w:ascii="Arial" w:hAnsi="Arial" w:cs="Arial"/>
        </w:rPr>
        <w:t>. É o reconhecimento de uma perda dos benefícios econômicos futuros ou potenciais de serviço de um ativo, adicional e acima do reconhecimento sistemático das perdas de benefícios econômicos futuros ou potenciais de serviço que se efetua normalmente.</w:t>
      </w:r>
    </w:p>
    <w:p w:rsidR="003A6484" w:rsidRPr="004B057C"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4B057C"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4B057C">
        <w:rPr>
          <w:rFonts w:ascii="Arial" w:hAnsi="Arial" w:cs="Arial"/>
          <w:color w:val="215868" w:themeColor="accent5" w:themeShade="80"/>
          <w:sz w:val="24"/>
          <w:szCs w:val="24"/>
        </w:rPr>
        <w:t>Intangível</w:t>
      </w:r>
    </w:p>
    <w:p w:rsidR="008A3226" w:rsidRPr="004B057C" w:rsidRDefault="009E120F" w:rsidP="008365B6">
      <w:pPr>
        <w:autoSpaceDE w:val="0"/>
        <w:autoSpaceDN w:val="0"/>
        <w:adjustRightInd w:val="0"/>
        <w:spacing w:after="0" w:line="240" w:lineRule="auto"/>
        <w:ind w:left="1418" w:right="1559"/>
        <w:jc w:val="both"/>
        <w:rPr>
          <w:rFonts w:ascii="Arial" w:hAnsi="Arial" w:cs="Arial"/>
          <w:sz w:val="24"/>
          <w:szCs w:val="24"/>
        </w:rPr>
      </w:pPr>
      <w:r>
        <w:rPr>
          <w:rFonts w:ascii="Arial" w:hAnsi="Arial" w:cs="Arial"/>
          <w:sz w:val="24"/>
          <w:szCs w:val="24"/>
        </w:rPr>
        <w:t>O Fundo Municipal de Saúde</w:t>
      </w:r>
      <w:r w:rsidR="004B057C" w:rsidRPr="004B057C">
        <w:rPr>
          <w:rFonts w:ascii="Arial" w:hAnsi="Arial" w:cs="Arial"/>
          <w:sz w:val="24"/>
          <w:szCs w:val="24"/>
        </w:rPr>
        <w:t xml:space="preserve"> de </w:t>
      </w:r>
      <w:r w:rsidR="00B6357B">
        <w:rPr>
          <w:rFonts w:ascii="Arial" w:hAnsi="Arial" w:cs="Arial"/>
          <w:sz w:val="24"/>
          <w:szCs w:val="24"/>
        </w:rPr>
        <w:t>Santa Terezinha do Progresso</w:t>
      </w:r>
      <w:r w:rsidR="008A3226" w:rsidRPr="004B057C">
        <w:rPr>
          <w:rFonts w:ascii="Arial" w:hAnsi="Arial" w:cs="Arial"/>
          <w:sz w:val="24"/>
          <w:szCs w:val="24"/>
        </w:rPr>
        <w:t>, SC</w:t>
      </w:r>
      <w:r w:rsidR="004B057C">
        <w:rPr>
          <w:rFonts w:ascii="Arial" w:hAnsi="Arial" w:cs="Arial"/>
          <w:sz w:val="24"/>
          <w:szCs w:val="24"/>
        </w:rPr>
        <w:t>,</w:t>
      </w:r>
      <w:r w:rsidR="008A3226" w:rsidRPr="004B057C">
        <w:rPr>
          <w:rFonts w:ascii="Arial" w:hAnsi="Arial" w:cs="Arial"/>
          <w:sz w:val="24"/>
          <w:szCs w:val="24"/>
        </w:rPr>
        <w:t xml:space="preserve"> não possui bens intangíveis em seu patrimônio.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1A008C" w:rsidRPr="001A008C" w:rsidRDefault="001A008C" w:rsidP="008365B6">
      <w:pPr>
        <w:autoSpaceDE w:val="0"/>
        <w:autoSpaceDN w:val="0"/>
        <w:adjustRightInd w:val="0"/>
        <w:spacing w:after="0" w:line="240" w:lineRule="auto"/>
        <w:ind w:left="1418" w:right="1559"/>
        <w:jc w:val="both"/>
        <w:rPr>
          <w:rFonts w:ascii="Arial" w:hAnsi="Arial" w:cs="Arial"/>
          <w:sz w:val="24"/>
          <w:szCs w:val="24"/>
        </w:rPr>
      </w:pPr>
    </w:p>
    <w:p w:rsidR="008A3226"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lang w:val="es-ES_tradnl"/>
        </w:rPr>
      </w:pPr>
      <w:r w:rsidRPr="0093664A">
        <w:rPr>
          <w:rFonts w:ascii="Segoe Script" w:hAnsi="Segoe Script" w:cs="Arial"/>
          <w:b/>
          <w:color w:val="984806" w:themeColor="accent6" w:themeShade="80"/>
          <w:sz w:val="26"/>
          <w:szCs w:val="26"/>
          <w:lang w:val="es-ES_tradnl"/>
        </w:rPr>
        <w:t>PASSIVOS</w:t>
      </w: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0850A6" w:rsidRDefault="00991D69" w:rsidP="008365B6">
      <w:pPr>
        <w:autoSpaceDE w:val="0"/>
        <w:autoSpaceDN w:val="0"/>
        <w:adjustRightInd w:val="0"/>
        <w:spacing w:after="0" w:line="240" w:lineRule="auto"/>
        <w:ind w:left="1418" w:right="1559"/>
        <w:jc w:val="both"/>
        <w:rPr>
          <w:rFonts w:ascii="Arial" w:hAnsi="Arial" w:cs="Arial"/>
          <w:sz w:val="24"/>
          <w:szCs w:val="24"/>
        </w:rPr>
      </w:pPr>
      <w:r>
        <w:rPr>
          <w:rFonts w:ascii="Arial" w:hAnsi="Arial" w:cs="Arial"/>
          <w:color w:val="215868" w:themeColor="accent5" w:themeShade="80"/>
          <w:sz w:val="24"/>
          <w:szCs w:val="24"/>
        </w:rPr>
        <w:lastRenderedPageBreak/>
        <w:t>Passivo</w:t>
      </w:r>
      <w:r>
        <w:rPr>
          <w:rFonts w:ascii="Arial" w:hAnsi="Arial" w:cs="Arial"/>
          <w:color w:val="215868" w:themeColor="accent5" w:themeShade="80"/>
          <w:sz w:val="24"/>
          <w:szCs w:val="24"/>
        </w:rPr>
        <w:br/>
      </w:r>
      <w:proofErr w:type="spellStart"/>
      <w:r w:rsidRPr="00991D69">
        <w:rPr>
          <w:rFonts w:ascii="Arial" w:hAnsi="Arial" w:cs="Arial"/>
          <w:sz w:val="24"/>
          <w:szCs w:val="24"/>
        </w:rPr>
        <w:t>Passivo</w:t>
      </w:r>
      <w:proofErr w:type="spellEnd"/>
      <w:r w:rsidRPr="00991D69">
        <w:rPr>
          <w:rFonts w:ascii="Arial" w:hAnsi="Arial" w:cs="Arial"/>
          <w:sz w:val="24"/>
          <w:szCs w:val="24"/>
        </w:rPr>
        <w:t xml:space="preserve"> é uma obrigação presente, derivada de evento passado, cuja extinção deva resultar na saída de recursos da entidade.</w:t>
      </w:r>
    </w:p>
    <w:p w:rsidR="008A3226" w:rsidRPr="003A6484"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991D69">
        <w:rPr>
          <w:rFonts w:ascii="Arial" w:hAnsi="Arial" w:cs="Arial"/>
          <w:sz w:val="24"/>
          <w:szCs w:val="24"/>
        </w:rPr>
        <w:br/>
      </w:r>
      <w:r w:rsidR="008A3226" w:rsidRPr="003A6484">
        <w:rPr>
          <w:rFonts w:ascii="Arial" w:hAnsi="Arial" w:cs="Arial"/>
          <w:color w:val="215868" w:themeColor="accent5" w:themeShade="80"/>
          <w:sz w:val="24"/>
          <w:szCs w:val="24"/>
        </w:rPr>
        <w:t>Obrigações</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As obrigações são mensuradas ou avaliadas pelo valor original. As obrigações são ajustad</w:t>
      </w:r>
      <w:r w:rsidR="00382831">
        <w:rPr>
          <w:rFonts w:ascii="Arial" w:hAnsi="Arial" w:cs="Arial"/>
          <w:sz w:val="24"/>
          <w:szCs w:val="24"/>
        </w:rPr>
        <w:t>a</w:t>
      </w:r>
      <w:r w:rsidRPr="007C5270">
        <w:rPr>
          <w:rFonts w:ascii="Arial" w:hAnsi="Arial" w:cs="Arial"/>
          <w:sz w:val="24"/>
          <w:szCs w:val="24"/>
        </w:rPr>
        <w:t xml:space="preserve">s considerando-se todos os encargos incorridos até a data de encerramento do balanço. </w:t>
      </w:r>
      <w:r w:rsidR="009E120F">
        <w:rPr>
          <w:rFonts w:ascii="Arial" w:hAnsi="Arial" w:cs="Arial"/>
          <w:sz w:val="24"/>
          <w:szCs w:val="24"/>
        </w:rPr>
        <w:t>O Fundo Municipal de Saúde não constitui Provisões por ser um Fundo com personalidade jurídica, porém meramente contábil.</w:t>
      </w:r>
      <w:r w:rsidRPr="007C5270">
        <w:rPr>
          <w:rFonts w:ascii="Arial" w:hAnsi="Arial" w:cs="Arial"/>
          <w:sz w:val="24"/>
          <w:szCs w:val="24"/>
        </w:rPr>
        <w:t xml:space="preserve"> Férias são passivos derivados de apropriações por competência, decorrentes de serviços recebidos, mas que não tenham sido pagos. As informações </w:t>
      </w:r>
      <w:r w:rsidR="00382831">
        <w:rPr>
          <w:rFonts w:ascii="Arial" w:hAnsi="Arial" w:cs="Arial"/>
          <w:sz w:val="24"/>
          <w:szCs w:val="24"/>
        </w:rPr>
        <w:t xml:space="preserve">relativas a férias e décimo terceiro salário, são </w:t>
      </w:r>
      <w:r w:rsidRPr="007C5270">
        <w:rPr>
          <w:rFonts w:ascii="Arial" w:hAnsi="Arial" w:cs="Arial"/>
          <w:sz w:val="24"/>
          <w:szCs w:val="24"/>
        </w:rPr>
        <w:t>recebidas do Departamento de Recursos Humanos.</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93664A" w:rsidRPr="003A6484"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 xml:space="preserve">Contabilização das Retenções para Fins Orçamentários </w:t>
      </w:r>
    </w:p>
    <w:p w:rsidR="0093664A" w:rsidRDefault="009E120F" w:rsidP="008365B6">
      <w:pPr>
        <w:autoSpaceDE w:val="0"/>
        <w:autoSpaceDN w:val="0"/>
        <w:adjustRightInd w:val="0"/>
        <w:spacing w:after="0" w:line="240" w:lineRule="auto"/>
        <w:ind w:left="1418" w:right="1559"/>
        <w:jc w:val="both"/>
        <w:rPr>
          <w:rFonts w:ascii="Arial" w:hAnsi="Arial" w:cs="Arial"/>
          <w:sz w:val="24"/>
          <w:szCs w:val="24"/>
        </w:rPr>
      </w:pPr>
      <w:r>
        <w:rPr>
          <w:rFonts w:ascii="Arial" w:hAnsi="Arial" w:cs="Arial"/>
          <w:sz w:val="24"/>
          <w:szCs w:val="24"/>
        </w:rPr>
        <w:t>O Fundo Municipal de Saúde</w:t>
      </w:r>
      <w:r w:rsidR="0093664A" w:rsidRPr="007C5270">
        <w:rPr>
          <w:rFonts w:ascii="Arial" w:hAnsi="Arial" w:cs="Arial"/>
          <w:sz w:val="24"/>
          <w:szCs w:val="24"/>
        </w:rPr>
        <w:t xml:space="preserve"> </w:t>
      </w:r>
      <w:r w:rsidR="00490B26">
        <w:rPr>
          <w:rFonts w:ascii="Arial" w:hAnsi="Arial" w:cs="Arial"/>
          <w:sz w:val="24"/>
          <w:szCs w:val="24"/>
        </w:rPr>
        <w:t xml:space="preserve">de </w:t>
      </w:r>
      <w:r w:rsidR="00B6357B">
        <w:rPr>
          <w:rFonts w:ascii="Arial" w:hAnsi="Arial" w:cs="Arial"/>
          <w:sz w:val="24"/>
          <w:szCs w:val="24"/>
        </w:rPr>
        <w:t>Santa Terezinha do Progresso</w:t>
      </w:r>
      <w:r w:rsidR="00D00401">
        <w:rPr>
          <w:rFonts w:ascii="Arial" w:hAnsi="Arial" w:cs="Arial"/>
          <w:sz w:val="24"/>
          <w:szCs w:val="24"/>
        </w:rPr>
        <w:t xml:space="preserve">, </w:t>
      </w:r>
      <w:r w:rsidR="0093664A" w:rsidRPr="007C5270">
        <w:rPr>
          <w:rFonts w:ascii="Arial" w:hAnsi="Arial" w:cs="Arial"/>
          <w:sz w:val="24"/>
          <w:szCs w:val="24"/>
        </w:rPr>
        <w:t>adota a política contábil de registro das retenções na conta crédito empenhado liquidado pago no momento da retenção</w:t>
      </w:r>
      <w:r w:rsidR="0093664A">
        <w:rPr>
          <w:rFonts w:ascii="Arial" w:hAnsi="Arial" w:cs="Arial"/>
          <w:sz w:val="24"/>
          <w:szCs w:val="24"/>
        </w:rPr>
        <w:t xml:space="preserve">, ou seja, orçamentariamente na fase da liquidação da despesa, </w:t>
      </w:r>
      <w:r w:rsidR="0093664A" w:rsidRPr="007C5270">
        <w:rPr>
          <w:rFonts w:ascii="Arial" w:hAnsi="Arial" w:cs="Arial"/>
          <w:sz w:val="24"/>
          <w:szCs w:val="24"/>
        </w:rPr>
        <w:t>pois considera-se que</w:t>
      </w:r>
      <w:r w:rsidR="0093664A">
        <w:rPr>
          <w:rFonts w:ascii="Arial" w:hAnsi="Arial" w:cs="Arial"/>
          <w:sz w:val="24"/>
          <w:szCs w:val="24"/>
        </w:rPr>
        <w:t xml:space="preserve"> nesse momento</w:t>
      </w:r>
      <w:r w:rsidR="0093664A" w:rsidRPr="007C5270">
        <w:rPr>
          <w:rFonts w:ascii="Arial" w:hAnsi="Arial" w:cs="Arial"/>
          <w:sz w:val="24"/>
          <w:szCs w:val="24"/>
        </w:rPr>
        <w:t xml:space="preserve"> a obrigação com o credor da despesa foi totalmente quitada, restando uma obrigação com um terceiro</w:t>
      </w:r>
      <w:r w:rsidR="0093664A">
        <w:rPr>
          <w:rFonts w:ascii="Arial" w:hAnsi="Arial" w:cs="Arial"/>
          <w:sz w:val="24"/>
          <w:szCs w:val="24"/>
        </w:rPr>
        <w:t>,</w:t>
      </w:r>
      <w:r w:rsidR="0093664A" w:rsidRPr="007C5270">
        <w:rPr>
          <w:rFonts w:ascii="Arial" w:hAnsi="Arial" w:cs="Arial"/>
          <w:sz w:val="24"/>
          <w:szCs w:val="24"/>
        </w:rPr>
        <w:t xml:space="preserve"> </w:t>
      </w:r>
      <w:r w:rsidR="0093664A">
        <w:rPr>
          <w:rFonts w:ascii="Arial" w:hAnsi="Arial" w:cs="Arial"/>
          <w:sz w:val="24"/>
          <w:szCs w:val="24"/>
        </w:rPr>
        <w:t>conforme orientações do TCE/SC</w:t>
      </w:r>
      <w:r w:rsidR="0093664A" w:rsidRPr="007C5270">
        <w:rPr>
          <w:rFonts w:ascii="Arial" w:hAnsi="Arial" w:cs="Arial"/>
          <w:sz w:val="24"/>
          <w:szCs w:val="24"/>
        </w:rPr>
        <w:t xml:space="preserve">. </w:t>
      </w:r>
    </w:p>
    <w:p w:rsidR="0093664A" w:rsidRPr="00527F0C" w:rsidRDefault="0093664A"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lang w:val="es-ES_tradnl"/>
        </w:rPr>
      </w:pPr>
    </w:p>
    <w:p w:rsidR="003A6484" w:rsidRPr="003A6484"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 xml:space="preserve">Passivos sem Execução Orçamentária </w:t>
      </w:r>
    </w:p>
    <w:p w:rsidR="003A6484" w:rsidRPr="007C5270" w:rsidRDefault="003A6484"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Todas as obrigações, independentemente da execução orçamentária da despesa, devem ser reconhecidas pelas unidades gestoras em observância ao regime de competência definido pelas NBCASP.</w:t>
      </w:r>
    </w:p>
    <w:p w:rsidR="003A6484" w:rsidRDefault="003A6484"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lang w:val="es-ES_tradnl"/>
        </w:rPr>
      </w:pPr>
    </w:p>
    <w:p w:rsidR="001A008C" w:rsidRPr="001A008C" w:rsidRDefault="001A008C"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lang w:val="es-ES_tradnl"/>
        </w:rPr>
      </w:pPr>
    </w:p>
    <w:p w:rsidR="0093664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lang w:val="es-ES_tradnl"/>
        </w:rPr>
      </w:pPr>
      <w:r w:rsidRPr="0093664A">
        <w:rPr>
          <w:rFonts w:ascii="Segoe Script" w:hAnsi="Segoe Script" w:cs="Arial"/>
          <w:b/>
          <w:color w:val="984806" w:themeColor="accent6" w:themeShade="80"/>
          <w:sz w:val="26"/>
          <w:szCs w:val="26"/>
          <w:lang w:val="es-ES_tradnl"/>
        </w:rPr>
        <w:t>PA</w:t>
      </w:r>
      <w:r>
        <w:rPr>
          <w:rFonts w:ascii="Segoe Script" w:hAnsi="Segoe Script" w:cs="Arial"/>
          <w:b/>
          <w:color w:val="984806" w:themeColor="accent6" w:themeShade="80"/>
          <w:sz w:val="26"/>
          <w:szCs w:val="26"/>
          <w:lang w:val="es-ES_tradnl"/>
        </w:rPr>
        <w:t>TRIMÔNIO LÍQUIDO</w:t>
      </w: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3A6484"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Patrimônio líquido</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Compreende o valor residual dos ativos depois de deduzidos todos os passivos. Quando o valor do Passivo for maior que o valor do ativo, o resultado é denominado Passivo a Descoberto. Neste caso, a expressão Patrimônio Líquido deve ser substituída por Passivo a Descoberto.</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3A6484"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lastRenderedPageBreak/>
        <w:t>Ajustes de exercícios anteriores</w:t>
      </w:r>
    </w:p>
    <w:p w:rsidR="001A008C" w:rsidRDefault="001A008C" w:rsidP="008365B6">
      <w:pPr>
        <w:autoSpaceDE w:val="0"/>
        <w:autoSpaceDN w:val="0"/>
        <w:adjustRightInd w:val="0"/>
        <w:spacing w:after="0" w:line="240" w:lineRule="auto"/>
        <w:ind w:left="1418" w:right="1559"/>
        <w:jc w:val="both"/>
        <w:rPr>
          <w:rFonts w:ascii="Arial" w:hAnsi="Arial" w:cs="Arial"/>
          <w:bCs/>
          <w:sz w:val="24"/>
          <w:szCs w:val="24"/>
        </w:rPr>
      </w:pPr>
      <w:r>
        <w:rPr>
          <w:rFonts w:ascii="Arial" w:hAnsi="Arial" w:cs="Arial"/>
          <w:bCs/>
          <w:sz w:val="24"/>
          <w:szCs w:val="24"/>
        </w:rPr>
        <w:t xml:space="preserve">No grupo do patrimônio líquido, a conta Ajustes de Exercício Anteriores é utilizada </w:t>
      </w:r>
      <w:r w:rsidRPr="005A63BA">
        <w:rPr>
          <w:rFonts w:ascii="Arial" w:hAnsi="Arial" w:cs="Arial"/>
          <w:bCs/>
          <w:sz w:val="24"/>
          <w:szCs w:val="24"/>
        </w:rPr>
        <w:t>apenas os decorrentes de efeitos da mudança de critério contábil, ou da retificação de erro imputável a determinado exercício anterior, e que não possam ser atribuídos a fatos subsequentes.</w:t>
      </w:r>
    </w:p>
    <w:p w:rsidR="001A008C" w:rsidRDefault="001A008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A6484" w:rsidRPr="003A6484"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Apuração do Resultado</w:t>
      </w:r>
    </w:p>
    <w:p w:rsidR="003A6484" w:rsidRPr="007C5270" w:rsidRDefault="003A6484"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Os resultados orçamentário e patrimonial foram apurados de acordo com as práticas contábeis vigentes, sendo as receitas orçamentárias reconhecidas pelo regime de caixa, as despesas orçamentárias pelo empenho no exercício e as variações patrimoniais aumentativas e diminutivas de acordo com o seu fato gerador.</w:t>
      </w:r>
    </w:p>
    <w:p w:rsidR="004B057C" w:rsidRDefault="004B057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7C5270" w:rsidRDefault="001A008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0D5731" w:rsidRDefault="003A6484"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lang w:val="es-ES_tradnl"/>
        </w:rPr>
      </w:pPr>
      <w:r>
        <w:rPr>
          <w:rFonts w:ascii="Segoe Script" w:hAnsi="Segoe Script" w:cs="Arial"/>
          <w:b/>
          <w:color w:val="984806" w:themeColor="accent6" w:themeShade="80"/>
          <w:sz w:val="26"/>
          <w:szCs w:val="26"/>
          <w:lang w:val="es-ES_tradnl"/>
        </w:rPr>
        <w:t>DEFINIÇÕES GERAIS</w:t>
      </w: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3A6484"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 xml:space="preserve">Registro da Receita Orçamentária </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A política contábil d</w:t>
      </w:r>
      <w:r w:rsidR="009E120F">
        <w:rPr>
          <w:rFonts w:ascii="Arial" w:hAnsi="Arial" w:cs="Arial"/>
          <w:sz w:val="24"/>
          <w:szCs w:val="24"/>
        </w:rPr>
        <w:t>o Fundo Municipal de Saúde</w:t>
      </w:r>
      <w:r w:rsidRPr="007C5270">
        <w:rPr>
          <w:rFonts w:ascii="Arial" w:hAnsi="Arial" w:cs="Arial"/>
          <w:sz w:val="24"/>
          <w:szCs w:val="24"/>
        </w:rPr>
        <w:t xml:space="preserve"> de </w:t>
      </w:r>
      <w:r w:rsidR="00B6357B">
        <w:rPr>
          <w:rFonts w:ascii="Arial" w:hAnsi="Arial" w:cs="Arial"/>
          <w:sz w:val="24"/>
          <w:szCs w:val="24"/>
        </w:rPr>
        <w:t>Santa Terezinha do Progresso</w:t>
      </w:r>
      <w:r w:rsidRPr="007C5270">
        <w:rPr>
          <w:rFonts w:ascii="Arial" w:hAnsi="Arial" w:cs="Arial"/>
          <w:sz w:val="24"/>
          <w:szCs w:val="24"/>
        </w:rPr>
        <w:t>, SC, é o registro centralizado da receita orçamentária pelo princípio do caixa único.</w:t>
      </w:r>
      <w:r w:rsidR="00B5089F">
        <w:rPr>
          <w:rFonts w:ascii="Arial" w:hAnsi="Arial" w:cs="Arial"/>
          <w:sz w:val="24"/>
          <w:szCs w:val="24"/>
        </w:rPr>
        <w:t xml:space="preserve"> </w:t>
      </w:r>
      <w:r w:rsidR="00382831">
        <w:rPr>
          <w:rFonts w:ascii="Arial" w:hAnsi="Arial" w:cs="Arial"/>
          <w:sz w:val="24"/>
          <w:szCs w:val="24"/>
        </w:rPr>
        <w:t>O regime contábil para o registro da receita é o regime de caixa.</w:t>
      </w:r>
      <w:r w:rsidRPr="007C5270">
        <w:rPr>
          <w:rFonts w:ascii="Arial" w:hAnsi="Arial" w:cs="Arial"/>
          <w:sz w:val="24"/>
          <w:szCs w:val="24"/>
        </w:rPr>
        <w:t xml:space="preserve"> </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3A6484"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 xml:space="preserve">Distinção entre Circulante e Não Circulante </w:t>
      </w:r>
    </w:p>
    <w:p w:rsidR="008A3226" w:rsidRPr="007C5270" w:rsidRDefault="008A3226"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 xml:space="preserve">A política contábil adotada evidencia como circulante os direitos e as obrigações com valores de realização em até 12 meses da data de levantamento destas demonstrações contábeis. Os ingressos </w:t>
      </w:r>
      <w:r w:rsidR="006D0EE7" w:rsidRPr="007C5270">
        <w:rPr>
          <w:rFonts w:ascii="Arial" w:hAnsi="Arial" w:cs="Arial"/>
          <w:sz w:val="24"/>
          <w:szCs w:val="24"/>
        </w:rPr>
        <w:t>extra orçamentários</w:t>
      </w:r>
      <w:r w:rsidRPr="007C5270">
        <w:rPr>
          <w:rFonts w:ascii="Arial" w:hAnsi="Arial" w:cs="Arial"/>
          <w:sz w:val="24"/>
          <w:szCs w:val="24"/>
        </w:rPr>
        <w:t xml:space="preserve">, tais como cauções e outras entradas compensatórias, são considerados como circulante, independentemente do prazo de devolução do recurso. </w:t>
      </w:r>
    </w:p>
    <w:p w:rsidR="008A3226" w:rsidRPr="007C5270" w:rsidRDefault="008A3226" w:rsidP="008365B6">
      <w:pPr>
        <w:autoSpaceDE w:val="0"/>
        <w:autoSpaceDN w:val="0"/>
        <w:adjustRightInd w:val="0"/>
        <w:spacing w:after="0" w:line="240" w:lineRule="auto"/>
        <w:ind w:left="1418" w:right="1559"/>
        <w:rPr>
          <w:rFonts w:ascii="Arial" w:hAnsi="Arial" w:cs="Arial"/>
          <w:color w:val="FF0000"/>
          <w:sz w:val="24"/>
          <w:szCs w:val="24"/>
        </w:rPr>
      </w:pPr>
    </w:p>
    <w:p w:rsidR="008A3226" w:rsidRPr="007C5270" w:rsidRDefault="008A3226"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8A3226" w:rsidRPr="007C5270" w:rsidRDefault="008A3226" w:rsidP="008365B6">
      <w:pPr>
        <w:autoSpaceDE w:val="0"/>
        <w:autoSpaceDN w:val="0"/>
        <w:adjustRightInd w:val="0"/>
        <w:spacing w:after="0" w:line="240" w:lineRule="auto"/>
        <w:ind w:left="1418" w:right="1559"/>
        <w:rPr>
          <w:rFonts w:ascii="Arial" w:hAnsi="Arial" w:cs="Arial"/>
          <w:b/>
          <w:bCs/>
          <w:color w:val="215868" w:themeColor="accent5" w:themeShade="80"/>
          <w:sz w:val="24"/>
          <w:szCs w:val="24"/>
        </w:rPr>
      </w:pPr>
      <w:r w:rsidRPr="007C5270">
        <w:rPr>
          <w:rFonts w:ascii="Arial" w:hAnsi="Arial" w:cs="Arial"/>
          <w:b/>
          <w:bCs/>
          <w:color w:val="215868" w:themeColor="accent5" w:themeShade="80"/>
          <w:sz w:val="24"/>
          <w:szCs w:val="24"/>
        </w:rPr>
        <w:t>2.2 Novas normas e políticas contábeis alteradas</w:t>
      </w:r>
    </w:p>
    <w:p w:rsidR="008A3226" w:rsidRPr="00667AE1" w:rsidRDefault="008A3226" w:rsidP="008365B6">
      <w:pPr>
        <w:autoSpaceDE w:val="0"/>
        <w:autoSpaceDN w:val="0"/>
        <w:adjustRightInd w:val="0"/>
        <w:spacing w:after="0" w:line="240" w:lineRule="auto"/>
        <w:ind w:left="1418" w:right="1559"/>
        <w:jc w:val="both"/>
        <w:rPr>
          <w:rFonts w:ascii="Arial" w:hAnsi="Arial" w:cs="Arial"/>
          <w:sz w:val="24"/>
          <w:szCs w:val="24"/>
        </w:rPr>
      </w:pPr>
      <w:r w:rsidRPr="007C5270">
        <w:rPr>
          <w:rFonts w:ascii="Arial" w:hAnsi="Arial" w:cs="Arial"/>
          <w:sz w:val="24"/>
          <w:szCs w:val="24"/>
        </w:rPr>
        <w:t xml:space="preserve">O Conselho Federal de Contabilidade (CFC) publicou em outubro de 2016, a Norma Brasileira de Contabilidade Aplicada ao Setor Público (NBC TSP) – Estrutura Conceitual. A regra é a primeira da área convergida às internacionalmente aceitas e vai nortear toda a contabilidade pública. Um dos principais pontos da norma é a definição da sociedade como usuária </w:t>
      </w:r>
      <w:r w:rsidRPr="007C5270">
        <w:rPr>
          <w:rFonts w:ascii="Arial" w:hAnsi="Arial" w:cs="Arial"/>
          <w:sz w:val="24"/>
          <w:szCs w:val="24"/>
        </w:rPr>
        <w:lastRenderedPageBreak/>
        <w:t>principal da informação contábil, o que facilitará a transparência e o controle social.</w:t>
      </w:r>
      <w:r w:rsidR="00667AE1">
        <w:rPr>
          <w:rFonts w:ascii="Arial" w:hAnsi="Arial" w:cs="Arial"/>
          <w:sz w:val="24"/>
          <w:szCs w:val="24"/>
        </w:rPr>
        <w:t xml:space="preserve"> </w:t>
      </w:r>
      <w:r w:rsidR="009E120F">
        <w:rPr>
          <w:rFonts w:ascii="Arial" w:hAnsi="Arial" w:cs="Arial"/>
          <w:sz w:val="24"/>
          <w:szCs w:val="24"/>
        </w:rPr>
        <w:t>O Fundo Municipal de Saúde</w:t>
      </w:r>
      <w:r w:rsidRPr="00667AE1">
        <w:rPr>
          <w:rFonts w:ascii="Arial" w:hAnsi="Arial" w:cs="Arial"/>
          <w:sz w:val="24"/>
          <w:szCs w:val="24"/>
        </w:rPr>
        <w:t xml:space="preserve"> de </w:t>
      </w:r>
      <w:r w:rsidR="00B6357B">
        <w:rPr>
          <w:rFonts w:ascii="Arial" w:hAnsi="Arial" w:cs="Arial"/>
          <w:sz w:val="24"/>
          <w:szCs w:val="24"/>
        </w:rPr>
        <w:t>Santa Terezinha do Progresso</w:t>
      </w:r>
      <w:r w:rsidRPr="00667AE1">
        <w:rPr>
          <w:rFonts w:ascii="Arial" w:hAnsi="Arial" w:cs="Arial"/>
          <w:sz w:val="24"/>
          <w:szCs w:val="24"/>
        </w:rPr>
        <w:t xml:space="preserve">, SC, atende as exigências das NBCASPs vigentes, e busca acompanhar as novidades das novas normas </w:t>
      </w:r>
      <w:r w:rsidR="00667AE1" w:rsidRPr="00667AE1">
        <w:rPr>
          <w:rFonts w:ascii="Arial" w:hAnsi="Arial" w:cs="Arial"/>
          <w:sz w:val="24"/>
          <w:szCs w:val="24"/>
        </w:rPr>
        <w:t xml:space="preserve">e políticas contábeis previstas. </w:t>
      </w:r>
      <w:r w:rsidRPr="00667AE1">
        <w:rPr>
          <w:rFonts w:ascii="Arial" w:hAnsi="Arial" w:cs="Arial"/>
          <w:sz w:val="24"/>
          <w:szCs w:val="24"/>
        </w:rPr>
        <w:t>O objetivo da Municipalidade é evidenciar o patrimônio público da forma mais clara possível permitindo a sociedade e aos órgãos de controle e fiscalização o adequado entendimento, atendendo as Normas e a legislação vigente.</w:t>
      </w:r>
    </w:p>
    <w:p w:rsidR="008A3226" w:rsidRPr="00D15A04"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D15A04"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040833" w:rsidRDefault="008A3226" w:rsidP="00535490">
      <w:pPr>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r w:rsidRPr="00040833">
        <w:rPr>
          <w:rFonts w:ascii="Arial" w:hAnsi="Arial" w:cs="Arial"/>
          <w:b/>
          <w:bCs/>
          <w:color w:val="215868" w:themeColor="accent5" w:themeShade="80"/>
          <w:sz w:val="24"/>
          <w:szCs w:val="24"/>
        </w:rPr>
        <w:t>2.3 Julgamentos pela aplicação das políticas contábeis</w:t>
      </w:r>
    </w:p>
    <w:p w:rsidR="008A3226" w:rsidRPr="00667AE1" w:rsidRDefault="008A3226" w:rsidP="008365B6">
      <w:pPr>
        <w:autoSpaceDE w:val="0"/>
        <w:autoSpaceDN w:val="0"/>
        <w:adjustRightInd w:val="0"/>
        <w:spacing w:after="0" w:line="240" w:lineRule="auto"/>
        <w:ind w:left="1418" w:right="1559"/>
        <w:jc w:val="both"/>
        <w:rPr>
          <w:rFonts w:ascii="Arial" w:hAnsi="Arial" w:cs="Arial"/>
          <w:sz w:val="24"/>
          <w:szCs w:val="24"/>
        </w:rPr>
      </w:pPr>
      <w:r w:rsidRPr="00667AE1">
        <w:rPr>
          <w:rFonts w:ascii="Arial" w:hAnsi="Arial" w:cs="Arial"/>
          <w:sz w:val="24"/>
          <w:szCs w:val="24"/>
        </w:rPr>
        <w:t xml:space="preserve">Na preparação das demonstrações contábeis, </w:t>
      </w:r>
      <w:r w:rsidR="009E120F">
        <w:rPr>
          <w:rFonts w:ascii="Arial" w:hAnsi="Arial" w:cs="Arial"/>
          <w:sz w:val="24"/>
          <w:szCs w:val="24"/>
        </w:rPr>
        <w:t>o Fundo Municipal de Saúde</w:t>
      </w:r>
      <w:r w:rsidRPr="00667AE1">
        <w:rPr>
          <w:rFonts w:ascii="Arial" w:hAnsi="Arial" w:cs="Arial"/>
          <w:sz w:val="24"/>
          <w:szCs w:val="24"/>
        </w:rPr>
        <w:t xml:space="preserve"> de </w:t>
      </w:r>
      <w:r w:rsidR="00FD1215">
        <w:rPr>
          <w:rFonts w:ascii="Arial" w:hAnsi="Arial" w:cs="Arial"/>
          <w:sz w:val="24"/>
          <w:szCs w:val="24"/>
        </w:rPr>
        <w:t>Santa Terezinha do Progresso</w:t>
      </w:r>
      <w:r w:rsidRPr="00667AE1">
        <w:rPr>
          <w:rFonts w:ascii="Arial" w:hAnsi="Arial" w:cs="Arial"/>
          <w:sz w:val="24"/>
          <w:szCs w:val="24"/>
        </w:rPr>
        <w:t>, SC, fez uso de estimativas e de julgamentos que afetam diretamente o valor de avaliação dos ativos e passivos constantes nas demonstrações. As principais estimativas e premissas estão a seguir relacionadas:</w:t>
      </w:r>
    </w:p>
    <w:p w:rsidR="008A3226" w:rsidRPr="00667AE1" w:rsidRDefault="008A3226" w:rsidP="008365B6">
      <w:pPr>
        <w:autoSpaceDE w:val="0"/>
        <w:autoSpaceDN w:val="0"/>
        <w:adjustRightInd w:val="0"/>
        <w:spacing w:after="0" w:line="240" w:lineRule="auto"/>
        <w:ind w:left="1418" w:right="1559"/>
        <w:rPr>
          <w:rFonts w:ascii="Arial" w:hAnsi="Arial" w:cs="Arial"/>
          <w:sz w:val="24"/>
          <w:szCs w:val="24"/>
        </w:rPr>
      </w:pPr>
    </w:p>
    <w:p w:rsidR="008A3226" w:rsidRPr="00667AE1" w:rsidRDefault="008A3226" w:rsidP="008365B6">
      <w:pPr>
        <w:autoSpaceDE w:val="0"/>
        <w:autoSpaceDN w:val="0"/>
        <w:adjustRightInd w:val="0"/>
        <w:spacing w:after="0" w:line="240" w:lineRule="auto"/>
        <w:ind w:left="1418" w:right="1559"/>
        <w:jc w:val="both"/>
        <w:rPr>
          <w:rFonts w:ascii="Arial" w:hAnsi="Arial" w:cs="Arial"/>
          <w:sz w:val="24"/>
          <w:szCs w:val="24"/>
        </w:rPr>
      </w:pPr>
      <w:r w:rsidRPr="00D15A04">
        <w:rPr>
          <w:rFonts w:ascii="Arial" w:hAnsi="Arial" w:cs="Arial"/>
          <w:color w:val="215868" w:themeColor="accent5" w:themeShade="80"/>
          <w:sz w:val="24"/>
          <w:szCs w:val="24"/>
        </w:rPr>
        <w:t xml:space="preserve">a) </w:t>
      </w:r>
      <w:r w:rsidRPr="00667AE1">
        <w:rPr>
          <w:rFonts w:ascii="Arial" w:hAnsi="Arial" w:cs="Arial"/>
          <w:sz w:val="24"/>
          <w:szCs w:val="24"/>
        </w:rPr>
        <w:t>a mensuração do valor justo dos ativos que foram reavaliados ou que tiveram a sua primeira avaliação foi realizada com dados comparáveis no mercado ou valor de reposição. Os bens de infraestrutura vêm sendo reconhecidos conforme estão sendo realizados.</w:t>
      </w:r>
    </w:p>
    <w:p w:rsidR="008A3226" w:rsidRPr="00667AE1"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Default="001267FB" w:rsidP="008365B6">
      <w:pPr>
        <w:autoSpaceDE w:val="0"/>
        <w:autoSpaceDN w:val="0"/>
        <w:adjustRightInd w:val="0"/>
        <w:spacing w:after="0" w:line="240" w:lineRule="auto"/>
        <w:ind w:left="1418" w:right="1559"/>
        <w:jc w:val="both"/>
        <w:rPr>
          <w:rFonts w:ascii="Arial" w:hAnsi="Arial" w:cs="Arial"/>
          <w:sz w:val="24"/>
          <w:szCs w:val="24"/>
        </w:rPr>
      </w:pPr>
      <w:r>
        <w:rPr>
          <w:rFonts w:ascii="Arial" w:hAnsi="Arial" w:cs="Arial"/>
          <w:color w:val="215868" w:themeColor="accent5" w:themeShade="80"/>
          <w:sz w:val="24"/>
          <w:szCs w:val="24"/>
        </w:rPr>
        <w:t>b</w:t>
      </w:r>
      <w:r w:rsidR="008A3226" w:rsidRPr="00D15A04">
        <w:rPr>
          <w:rFonts w:ascii="Arial" w:hAnsi="Arial" w:cs="Arial"/>
          <w:color w:val="215868" w:themeColor="accent5" w:themeShade="80"/>
          <w:sz w:val="24"/>
          <w:szCs w:val="24"/>
        </w:rPr>
        <w:t xml:space="preserve">) </w:t>
      </w:r>
      <w:r w:rsidR="008A3226" w:rsidRPr="00667AE1">
        <w:rPr>
          <w:rFonts w:ascii="Arial" w:hAnsi="Arial" w:cs="Arial"/>
          <w:sz w:val="24"/>
          <w:szCs w:val="24"/>
        </w:rPr>
        <w:t>na determinação da vida útil econômica dos bens do imobilizado, está definida no Manual de controle físico e contábil do patrimônio d</w:t>
      </w:r>
      <w:r>
        <w:rPr>
          <w:rFonts w:ascii="Arial" w:hAnsi="Arial" w:cs="Arial"/>
          <w:sz w:val="24"/>
          <w:szCs w:val="24"/>
        </w:rPr>
        <w:t>o</w:t>
      </w:r>
      <w:r w:rsidR="009E120F">
        <w:rPr>
          <w:rFonts w:ascii="Arial" w:hAnsi="Arial" w:cs="Arial"/>
          <w:sz w:val="24"/>
          <w:szCs w:val="24"/>
        </w:rPr>
        <w:t xml:space="preserve"> </w:t>
      </w:r>
      <w:r>
        <w:rPr>
          <w:rFonts w:ascii="Arial" w:hAnsi="Arial" w:cs="Arial"/>
          <w:sz w:val="24"/>
          <w:szCs w:val="24"/>
        </w:rPr>
        <w:t>Município</w:t>
      </w:r>
      <w:r w:rsidR="008A3226" w:rsidRPr="00667AE1">
        <w:rPr>
          <w:rFonts w:ascii="Arial" w:hAnsi="Arial" w:cs="Arial"/>
          <w:sz w:val="24"/>
          <w:szCs w:val="24"/>
        </w:rPr>
        <w:t xml:space="preserve"> de </w:t>
      </w:r>
      <w:r w:rsidR="00FD1215">
        <w:rPr>
          <w:rFonts w:ascii="Arial" w:hAnsi="Arial" w:cs="Arial"/>
          <w:sz w:val="24"/>
          <w:szCs w:val="24"/>
        </w:rPr>
        <w:t>Santa Terezinha do Progresso</w:t>
      </w:r>
      <w:r w:rsidR="008A3226" w:rsidRPr="00667AE1">
        <w:rPr>
          <w:rFonts w:ascii="Arial" w:hAnsi="Arial" w:cs="Arial"/>
          <w:sz w:val="24"/>
          <w:szCs w:val="24"/>
        </w:rPr>
        <w:t>, SC. A tabela foi elabora</w:t>
      </w:r>
      <w:r w:rsidR="00874B33">
        <w:rPr>
          <w:rFonts w:ascii="Arial" w:hAnsi="Arial" w:cs="Arial"/>
          <w:sz w:val="24"/>
          <w:szCs w:val="24"/>
        </w:rPr>
        <w:t>da</w:t>
      </w:r>
      <w:r w:rsidR="008A3226" w:rsidRPr="00667AE1">
        <w:rPr>
          <w:rFonts w:ascii="Arial" w:hAnsi="Arial" w:cs="Arial"/>
          <w:sz w:val="24"/>
          <w:szCs w:val="24"/>
        </w:rPr>
        <w:t xml:space="preserve"> conforme vida útil estimada para cada classe de bens, de acordo com a realidade de uso e conservação do</w:t>
      </w:r>
      <w:r>
        <w:rPr>
          <w:rFonts w:ascii="Arial" w:hAnsi="Arial" w:cs="Arial"/>
          <w:sz w:val="24"/>
          <w:szCs w:val="24"/>
        </w:rPr>
        <w:t>s</w:t>
      </w:r>
      <w:r w:rsidR="008A3226" w:rsidRPr="00667AE1">
        <w:rPr>
          <w:rFonts w:ascii="Arial" w:hAnsi="Arial" w:cs="Arial"/>
          <w:sz w:val="24"/>
          <w:szCs w:val="24"/>
        </w:rPr>
        <w:t xml:space="preserve"> be</w:t>
      </w:r>
      <w:r>
        <w:rPr>
          <w:rFonts w:ascii="Arial" w:hAnsi="Arial" w:cs="Arial"/>
          <w:sz w:val="24"/>
          <w:szCs w:val="24"/>
        </w:rPr>
        <w:t>ns</w:t>
      </w:r>
      <w:r w:rsidR="008A3226" w:rsidRPr="00667AE1">
        <w:rPr>
          <w:rFonts w:ascii="Arial" w:hAnsi="Arial" w:cs="Arial"/>
          <w:sz w:val="24"/>
          <w:szCs w:val="24"/>
        </w:rPr>
        <w:t xml:space="preserve"> d</w:t>
      </w:r>
      <w:r>
        <w:rPr>
          <w:rFonts w:ascii="Arial" w:hAnsi="Arial" w:cs="Arial"/>
          <w:sz w:val="24"/>
          <w:szCs w:val="24"/>
        </w:rPr>
        <w:t>o</w:t>
      </w:r>
      <w:r w:rsidR="009E120F">
        <w:rPr>
          <w:rFonts w:ascii="Arial" w:hAnsi="Arial" w:cs="Arial"/>
          <w:sz w:val="24"/>
          <w:szCs w:val="24"/>
        </w:rPr>
        <w:t xml:space="preserve"> Fundo Municipal de Saúde</w:t>
      </w:r>
      <w:r w:rsidR="008A3226" w:rsidRPr="00667AE1">
        <w:rPr>
          <w:rFonts w:ascii="Arial" w:hAnsi="Arial" w:cs="Arial"/>
          <w:sz w:val="24"/>
          <w:szCs w:val="24"/>
        </w:rPr>
        <w:t xml:space="preserve">. </w:t>
      </w:r>
    </w:p>
    <w:p w:rsidR="00B00DAD" w:rsidRDefault="00B00DAD" w:rsidP="008365B6">
      <w:pPr>
        <w:autoSpaceDE w:val="0"/>
        <w:autoSpaceDN w:val="0"/>
        <w:adjustRightInd w:val="0"/>
        <w:spacing w:after="0" w:line="240" w:lineRule="auto"/>
        <w:ind w:left="1418" w:right="1559"/>
        <w:jc w:val="both"/>
        <w:rPr>
          <w:rFonts w:ascii="Arial" w:hAnsi="Arial" w:cs="Arial"/>
          <w:sz w:val="24"/>
          <w:szCs w:val="24"/>
        </w:rPr>
      </w:pPr>
    </w:p>
    <w:p w:rsidR="00B00DAD" w:rsidRDefault="00B00DAD" w:rsidP="008365B6">
      <w:pPr>
        <w:autoSpaceDE w:val="0"/>
        <w:autoSpaceDN w:val="0"/>
        <w:adjustRightInd w:val="0"/>
        <w:spacing w:after="0" w:line="240" w:lineRule="auto"/>
        <w:ind w:left="1418" w:right="1559"/>
        <w:jc w:val="both"/>
        <w:rPr>
          <w:rFonts w:ascii="Arial" w:hAnsi="Arial" w:cs="Arial"/>
          <w:sz w:val="24"/>
          <w:szCs w:val="24"/>
        </w:rPr>
      </w:pPr>
    </w:p>
    <w:p w:rsidR="00D00401" w:rsidRDefault="00D00401" w:rsidP="008365B6">
      <w:pPr>
        <w:autoSpaceDE w:val="0"/>
        <w:autoSpaceDN w:val="0"/>
        <w:adjustRightInd w:val="0"/>
        <w:spacing w:after="0" w:line="240" w:lineRule="auto"/>
        <w:ind w:left="1418" w:right="1559"/>
        <w:jc w:val="both"/>
        <w:rPr>
          <w:rFonts w:ascii="Arial" w:hAnsi="Arial" w:cs="Arial"/>
          <w:sz w:val="24"/>
          <w:szCs w:val="24"/>
        </w:rPr>
      </w:pPr>
    </w:p>
    <w:p w:rsidR="00D00401" w:rsidRDefault="00D00401" w:rsidP="008365B6">
      <w:pPr>
        <w:autoSpaceDE w:val="0"/>
        <w:autoSpaceDN w:val="0"/>
        <w:adjustRightInd w:val="0"/>
        <w:spacing w:after="0" w:line="240" w:lineRule="auto"/>
        <w:ind w:left="1418" w:right="1559"/>
        <w:jc w:val="both"/>
        <w:rPr>
          <w:rFonts w:ascii="Arial" w:hAnsi="Arial" w:cs="Arial"/>
          <w:sz w:val="24"/>
          <w:szCs w:val="24"/>
        </w:rPr>
      </w:pPr>
    </w:p>
    <w:p w:rsidR="00D00401" w:rsidRDefault="00D00401" w:rsidP="008365B6">
      <w:pPr>
        <w:autoSpaceDE w:val="0"/>
        <w:autoSpaceDN w:val="0"/>
        <w:adjustRightInd w:val="0"/>
        <w:spacing w:after="0" w:line="240" w:lineRule="auto"/>
        <w:ind w:left="1418" w:right="1559"/>
        <w:jc w:val="both"/>
        <w:rPr>
          <w:rFonts w:ascii="Arial" w:hAnsi="Arial" w:cs="Arial"/>
          <w:sz w:val="24"/>
          <w:szCs w:val="24"/>
        </w:rPr>
      </w:pPr>
    </w:p>
    <w:p w:rsidR="00D00401" w:rsidRDefault="00D00401" w:rsidP="008365B6">
      <w:pPr>
        <w:autoSpaceDE w:val="0"/>
        <w:autoSpaceDN w:val="0"/>
        <w:adjustRightInd w:val="0"/>
        <w:spacing w:after="0" w:line="240" w:lineRule="auto"/>
        <w:ind w:left="1418" w:right="1559"/>
        <w:jc w:val="both"/>
        <w:rPr>
          <w:rFonts w:ascii="Arial" w:hAnsi="Arial" w:cs="Arial"/>
          <w:sz w:val="24"/>
          <w:szCs w:val="24"/>
        </w:rPr>
      </w:pPr>
    </w:p>
    <w:p w:rsidR="00D00401" w:rsidRDefault="00D00401" w:rsidP="008365B6">
      <w:pPr>
        <w:autoSpaceDE w:val="0"/>
        <w:autoSpaceDN w:val="0"/>
        <w:adjustRightInd w:val="0"/>
        <w:spacing w:after="0" w:line="240" w:lineRule="auto"/>
        <w:ind w:left="1418" w:right="1559"/>
        <w:jc w:val="both"/>
        <w:rPr>
          <w:rFonts w:ascii="Arial" w:hAnsi="Arial" w:cs="Arial"/>
          <w:sz w:val="24"/>
          <w:szCs w:val="24"/>
        </w:rPr>
      </w:pPr>
    </w:p>
    <w:p w:rsidR="00D00401" w:rsidRDefault="00D00401" w:rsidP="008365B6">
      <w:pPr>
        <w:autoSpaceDE w:val="0"/>
        <w:autoSpaceDN w:val="0"/>
        <w:adjustRightInd w:val="0"/>
        <w:spacing w:after="0" w:line="240" w:lineRule="auto"/>
        <w:ind w:left="1418" w:right="1559"/>
        <w:jc w:val="both"/>
        <w:rPr>
          <w:rFonts w:ascii="Arial" w:hAnsi="Arial" w:cs="Arial"/>
          <w:sz w:val="24"/>
          <w:szCs w:val="24"/>
        </w:rPr>
      </w:pPr>
    </w:p>
    <w:p w:rsidR="00D00401" w:rsidRDefault="00D00401" w:rsidP="008365B6">
      <w:pPr>
        <w:autoSpaceDE w:val="0"/>
        <w:autoSpaceDN w:val="0"/>
        <w:adjustRightInd w:val="0"/>
        <w:spacing w:after="0" w:line="240" w:lineRule="auto"/>
        <w:ind w:left="1418" w:right="1559"/>
        <w:jc w:val="both"/>
        <w:rPr>
          <w:rFonts w:ascii="Arial" w:hAnsi="Arial" w:cs="Arial"/>
          <w:sz w:val="24"/>
          <w:szCs w:val="24"/>
        </w:rPr>
      </w:pPr>
    </w:p>
    <w:p w:rsidR="00D00401" w:rsidRDefault="00D00401" w:rsidP="008365B6">
      <w:pPr>
        <w:autoSpaceDE w:val="0"/>
        <w:autoSpaceDN w:val="0"/>
        <w:adjustRightInd w:val="0"/>
        <w:spacing w:after="0" w:line="240" w:lineRule="auto"/>
        <w:ind w:left="1418" w:right="1559"/>
        <w:jc w:val="both"/>
        <w:rPr>
          <w:rFonts w:ascii="Arial" w:hAnsi="Arial" w:cs="Arial"/>
          <w:sz w:val="24"/>
          <w:szCs w:val="24"/>
        </w:rPr>
      </w:pPr>
    </w:p>
    <w:p w:rsidR="00D00401" w:rsidRPr="00667AE1" w:rsidRDefault="00D00401" w:rsidP="008365B6">
      <w:pPr>
        <w:autoSpaceDE w:val="0"/>
        <w:autoSpaceDN w:val="0"/>
        <w:adjustRightInd w:val="0"/>
        <w:spacing w:after="0" w:line="240" w:lineRule="auto"/>
        <w:ind w:left="1418" w:right="1559"/>
        <w:jc w:val="both"/>
        <w:rPr>
          <w:rFonts w:ascii="Arial" w:hAnsi="Arial" w:cs="Arial"/>
          <w:sz w:val="24"/>
          <w:szCs w:val="24"/>
        </w:rPr>
      </w:pPr>
    </w:p>
    <w:p w:rsidR="008A3226" w:rsidRPr="0093664A" w:rsidRDefault="008A3226" w:rsidP="0093664A">
      <w:pPr>
        <w:pStyle w:val="PargrafodaLista"/>
        <w:numPr>
          <w:ilvl w:val="0"/>
          <w:numId w:val="14"/>
        </w:numPr>
        <w:autoSpaceDE w:val="0"/>
        <w:autoSpaceDN w:val="0"/>
        <w:adjustRightInd w:val="0"/>
        <w:spacing w:after="0" w:line="240" w:lineRule="auto"/>
        <w:jc w:val="both"/>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lastRenderedPageBreak/>
        <w:t>INFORMAÇÕES DE SUPORTE E DETALHAMENTO DE ITENS APRESENTADOS NAS DEMONSTRAÇÕES CONTÁBEIS PELA ORDEM EM QUE CADA DEMONSTRAÇÃO E CADA RUBRICA SEJAM APRESENTADAS</w:t>
      </w:r>
    </w:p>
    <w:p w:rsidR="00DA7DC9" w:rsidRDefault="00DA7DC9"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1A008C" w:rsidRDefault="001A008C"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8A3226" w:rsidRPr="00D15A04"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lang w:val="es-ES_tradnl"/>
        </w:rPr>
      </w:pPr>
      <w:r w:rsidRPr="00D15A04">
        <w:rPr>
          <w:rFonts w:ascii="Segoe Script" w:hAnsi="Segoe Script" w:cs="Arial"/>
          <w:b/>
          <w:color w:val="984806" w:themeColor="accent6" w:themeShade="80"/>
          <w:sz w:val="26"/>
          <w:szCs w:val="26"/>
          <w:lang w:val="es-ES_tradnl"/>
        </w:rPr>
        <w:t>ATIVOS</w:t>
      </w:r>
    </w:p>
    <w:p w:rsidR="001A008C" w:rsidRPr="0026351F" w:rsidRDefault="001A008C" w:rsidP="00807064">
      <w:pPr>
        <w:autoSpaceDE w:val="0"/>
        <w:autoSpaceDN w:val="0"/>
        <w:adjustRightInd w:val="0"/>
        <w:spacing w:after="0" w:line="240" w:lineRule="auto"/>
        <w:jc w:val="both"/>
        <w:rPr>
          <w:rFonts w:ascii="Arial" w:hAnsi="Arial" w:cs="Arial"/>
          <w:b/>
          <w:bCs/>
          <w:sz w:val="24"/>
          <w:szCs w:val="24"/>
        </w:rPr>
      </w:pPr>
    </w:p>
    <w:p w:rsidR="0026351F" w:rsidRDefault="0026351F" w:rsidP="00807064">
      <w:pPr>
        <w:autoSpaceDE w:val="0"/>
        <w:autoSpaceDN w:val="0"/>
        <w:adjustRightInd w:val="0"/>
        <w:spacing w:after="0" w:line="240" w:lineRule="auto"/>
        <w:jc w:val="both"/>
        <w:rPr>
          <w:rFonts w:ascii="Arial" w:hAnsi="Arial" w:cs="Arial"/>
          <w:b/>
          <w:bCs/>
        </w:rPr>
      </w:pPr>
    </w:p>
    <w:p w:rsidR="008A3226" w:rsidRPr="003A6484" w:rsidRDefault="008A3226" w:rsidP="008F2825">
      <w:pPr>
        <w:pStyle w:val="PargrafodaLista"/>
        <w:numPr>
          <w:ilvl w:val="1"/>
          <w:numId w:val="8"/>
        </w:numPr>
        <w:autoSpaceDE w:val="0"/>
        <w:autoSpaceDN w:val="0"/>
        <w:adjustRightInd w:val="0"/>
        <w:spacing w:after="0" w:line="240" w:lineRule="auto"/>
        <w:ind w:left="284" w:hanging="284"/>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Caixa e equivalentes de caixa</w:t>
      </w:r>
    </w:p>
    <w:tbl>
      <w:tblPr>
        <w:tblStyle w:val="TabeladeGrade4-nfase52"/>
        <w:tblW w:w="9214" w:type="dxa"/>
        <w:tblInd w:w="-5" w:type="dxa"/>
        <w:tblLook w:val="04A0" w:firstRow="1" w:lastRow="0" w:firstColumn="1" w:lastColumn="0" w:noHBand="0" w:noVBand="1"/>
      </w:tblPr>
      <w:tblGrid>
        <w:gridCol w:w="2313"/>
        <w:gridCol w:w="4142"/>
        <w:gridCol w:w="1217"/>
        <w:gridCol w:w="1542"/>
      </w:tblGrid>
      <w:tr w:rsidR="00956C7B" w:rsidRPr="001C782F" w:rsidTr="009755B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13" w:type="dxa"/>
          </w:tcPr>
          <w:p w:rsidR="00956C7B" w:rsidRPr="0026351F" w:rsidRDefault="00956C7B" w:rsidP="00807064">
            <w:pPr>
              <w:autoSpaceDE w:val="0"/>
              <w:autoSpaceDN w:val="0"/>
              <w:adjustRightInd w:val="0"/>
              <w:jc w:val="both"/>
              <w:rPr>
                <w:rFonts w:ascii="Arial" w:hAnsi="Arial" w:cs="Arial"/>
                <w:b w:val="0"/>
                <w:color w:val="auto"/>
                <w:sz w:val="20"/>
                <w:szCs w:val="20"/>
              </w:rPr>
            </w:pPr>
            <w:r w:rsidRPr="0026351F">
              <w:rPr>
                <w:rFonts w:ascii="Arial" w:hAnsi="Arial" w:cs="Arial"/>
                <w:color w:val="auto"/>
                <w:sz w:val="20"/>
                <w:szCs w:val="20"/>
              </w:rPr>
              <w:t>CONTA</w:t>
            </w:r>
          </w:p>
        </w:tc>
        <w:tc>
          <w:tcPr>
            <w:tcW w:w="4142" w:type="dxa"/>
          </w:tcPr>
          <w:p w:rsidR="00956C7B" w:rsidRPr="0026351F" w:rsidRDefault="00956C7B" w:rsidP="0080706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6351F">
              <w:rPr>
                <w:rFonts w:ascii="Arial" w:hAnsi="Arial" w:cs="Arial"/>
                <w:color w:val="auto"/>
                <w:sz w:val="20"/>
                <w:szCs w:val="20"/>
              </w:rPr>
              <w:t>DESCRIÇÃO</w:t>
            </w:r>
          </w:p>
        </w:tc>
        <w:tc>
          <w:tcPr>
            <w:tcW w:w="1217" w:type="dxa"/>
          </w:tcPr>
          <w:p w:rsidR="00956C7B" w:rsidRPr="0026351F" w:rsidRDefault="00956C7B" w:rsidP="0080706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6C7B">
              <w:rPr>
                <w:rFonts w:ascii="Arial" w:hAnsi="Arial" w:cs="Arial"/>
                <w:color w:val="auto"/>
                <w:sz w:val="20"/>
                <w:szCs w:val="20"/>
              </w:rPr>
              <w:t>2019</w:t>
            </w:r>
          </w:p>
        </w:tc>
        <w:tc>
          <w:tcPr>
            <w:tcW w:w="1542" w:type="dxa"/>
          </w:tcPr>
          <w:p w:rsidR="00956C7B" w:rsidRPr="0026351F" w:rsidRDefault="00956C7B" w:rsidP="0080706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color w:val="auto"/>
                <w:sz w:val="20"/>
                <w:szCs w:val="20"/>
              </w:rPr>
              <w:t>2018</w:t>
            </w:r>
          </w:p>
        </w:tc>
      </w:tr>
      <w:tr w:rsidR="00956C7B" w:rsidRPr="001C782F"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13" w:type="dxa"/>
          </w:tcPr>
          <w:p w:rsidR="00956C7B" w:rsidRPr="0026351F" w:rsidRDefault="00956C7B" w:rsidP="00807064">
            <w:pPr>
              <w:autoSpaceDE w:val="0"/>
              <w:autoSpaceDN w:val="0"/>
              <w:adjustRightInd w:val="0"/>
              <w:jc w:val="both"/>
              <w:rPr>
                <w:rFonts w:ascii="Arial" w:hAnsi="Arial" w:cs="Arial"/>
                <w:b w:val="0"/>
                <w:sz w:val="20"/>
                <w:szCs w:val="20"/>
              </w:rPr>
            </w:pPr>
            <w:r w:rsidRPr="0026351F">
              <w:rPr>
                <w:rFonts w:ascii="Arial" w:hAnsi="Arial" w:cs="Arial"/>
                <w:b w:val="0"/>
                <w:sz w:val="20"/>
                <w:szCs w:val="20"/>
              </w:rPr>
              <w:t>1.1.1.1.1.19.xx</w:t>
            </w:r>
          </w:p>
        </w:tc>
        <w:tc>
          <w:tcPr>
            <w:tcW w:w="4142" w:type="dxa"/>
          </w:tcPr>
          <w:p w:rsidR="00956C7B" w:rsidRPr="0026351F" w:rsidRDefault="00956C7B" w:rsidP="008070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351F">
              <w:rPr>
                <w:rFonts w:ascii="Arial" w:hAnsi="Arial" w:cs="Arial"/>
                <w:sz w:val="20"/>
                <w:szCs w:val="20"/>
              </w:rPr>
              <w:t>Banco conta movimento e vinculada</w:t>
            </w:r>
          </w:p>
        </w:tc>
        <w:tc>
          <w:tcPr>
            <w:tcW w:w="1217" w:type="dxa"/>
          </w:tcPr>
          <w:p w:rsidR="00956C7B" w:rsidRDefault="00956C7B"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611.222.94</w:t>
            </w:r>
          </w:p>
        </w:tc>
        <w:tc>
          <w:tcPr>
            <w:tcW w:w="1542" w:type="dxa"/>
          </w:tcPr>
          <w:p w:rsidR="00956C7B" w:rsidRPr="0026351F" w:rsidRDefault="00956C7B"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569.790,81</w:t>
            </w:r>
          </w:p>
        </w:tc>
      </w:tr>
      <w:tr w:rsidR="00956C7B" w:rsidRPr="001C782F" w:rsidTr="009755B2">
        <w:trPr>
          <w:trHeight w:val="255"/>
        </w:trPr>
        <w:tc>
          <w:tcPr>
            <w:cnfStyle w:val="001000000000" w:firstRow="0" w:lastRow="0" w:firstColumn="1" w:lastColumn="0" w:oddVBand="0" w:evenVBand="0" w:oddHBand="0" w:evenHBand="0" w:firstRowFirstColumn="0" w:firstRowLastColumn="0" w:lastRowFirstColumn="0" w:lastRowLastColumn="0"/>
            <w:tcW w:w="6455" w:type="dxa"/>
            <w:gridSpan w:val="2"/>
          </w:tcPr>
          <w:p w:rsidR="00956C7B" w:rsidRPr="0026351F" w:rsidRDefault="00956C7B" w:rsidP="00B20E4B">
            <w:pPr>
              <w:autoSpaceDE w:val="0"/>
              <w:autoSpaceDN w:val="0"/>
              <w:adjustRightInd w:val="0"/>
              <w:jc w:val="center"/>
              <w:rPr>
                <w:rFonts w:ascii="Arial" w:hAnsi="Arial" w:cs="Arial"/>
                <w:b w:val="0"/>
                <w:sz w:val="20"/>
                <w:szCs w:val="20"/>
              </w:rPr>
            </w:pPr>
            <w:r w:rsidRPr="0026351F">
              <w:rPr>
                <w:rFonts w:ascii="Arial" w:hAnsi="Arial" w:cs="Arial"/>
                <w:sz w:val="20"/>
                <w:szCs w:val="20"/>
              </w:rPr>
              <w:t>Total</w:t>
            </w:r>
          </w:p>
        </w:tc>
        <w:tc>
          <w:tcPr>
            <w:tcW w:w="1217" w:type="dxa"/>
          </w:tcPr>
          <w:p w:rsidR="00956C7B" w:rsidRDefault="00956C7B"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611.222.94</w:t>
            </w:r>
          </w:p>
        </w:tc>
        <w:tc>
          <w:tcPr>
            <w:tcW w:w="1542" w:type="dxa"/>
          </w:tcPr>
          <w:p w:rsidR="00956C7B" w:rsidRPr="0026351F" w:rsidRDefault="00956C7B" w:rsidP="00807064">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569.790,81</w:t>
            </w:r>
          </w:p>
        </w:tc>
      </w:tr>
    </w:tbl>
    <w:p w:rsidR="008A3226" w:rsidRDefault="008A3226"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D5DB9" w:rsidRPr="00FA2633" w:rsidRDefault="008D5DB9" w:rsidP="008D5DB9">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q</w:t>
      </w:r>
      <w:r w:rsidRPr="00820794">
        <w:rPr>
          <w:rFonts w:ascii="Arial" w:hAnsi="Arial" w:cs="Arial"/>
          <w:bCs/>
          <w:sz w:val="24"/>
          <w:szCs w:val="24"/>
        </w:rPr>
        <w:t>uadro anterior representa o montante de recursos financeiros (disponibilidades), do Fundo Municipa</w:t>
      </w:r>
      <w:r>
        <w:rPr>
          <w:rFonts w:ascii="Arial" w:hAnsi="Arial" w:cs="Arial"/>
          <w:bCs/>
          <w:sz w:val="24"/>
          <w:szCs w:val="24"/>
        </w:rPr>
        <w:t>l de Saúde, em 31 de dezembro dos exercícios de</w:t>
      </w:r>
      <w:r w:rsidRPr="00820794">
        <w:rPr>
          <w:rFonts w:ascii="Arial" w:hAnsi="Arial" w:cs="Arial"/>
          <w:bCs/>
          <w:sz w:val="24"/>
          <w:szCs w:val="24"/>
        </w:rPr>
        <w:t xml:space="preserve"> </w:t>
      </w:r>
      <w:r>
        <w:rPr>
          <w:rFonts w:ascii="Arial" w:hAnsi="Arial" w:cs="Arial"/>
          <w:bCs/>
          <w:sz w:val="24"/>
          <w:szCs w:val="24"/>
        </w:rPr>
        <w:t>2018 e 2019.</w:t>
      </w:r>
    </w:p>
    <w:p w:rsidR="008D5DB9" w:rsidRDefault="008D5DB9" w:rsidP="008D5DB9">
      <w:pPr>
        <w:autoSpaceDE w:val="0"/>
        <w:autoSpaceDN w:val="0"/>
        <w:adjustRightInd w:val="0"/>
        <w:spacing w:after="0" w:line="240" w:lineRule="auto"/>
        <w:jc w:val="both"/>
        <w:rPr>
          <w:rFonts w:ascii="Arial" w:hAnsi="Arial" w:cs="Arial"/>
          <w:bCs/>
          <w:color w:val="FF0000"/>
          <w:sz w:val="24"/>
          <w:szCs w:val="24"/>
        </w:rPr>
      </w:pPr>
    </w:p>
    <w:p w:rsidR="008D5DB9" w:rsidRPr="00820794" w:rsidRDefault="008D5DB9" w:rsidP="008D5DB9">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Em observância ao princípio da Unidade de Tesouraria, a administração financeira dos recursos é realizada em contas públicas da</w:t>
      </w:r>
      <w:r>
        <w:rPr>
          <w:rFonts w:ascii="Arial" w:hAnsi="Arial" w:cs="Arial"/>
          <w:bCs/>
          <w:sz w:val="24"/>
          <w:szCs w:val="24"/>
        </w:rPr>
        <w:t xml:space="preserve"> Unidade Gestora Fundo Municipal de Saúde, sendo </w:t>
      </w:r>
      <w:r w:rsidRPr="00820794">
        <w:rPr>
          <w:rFonts w:ascii="Arial" w:hAnsi="Arial" w:cs="Arial"/>
          <w:bCs/>
          <w:sz w:val="24"/>
          <w:szCs w:val="24"/>
        </w:rPr>
        <w:t>vedada a fragmentação em caixas especiais.</w:t>
      </w:r>
    </w:p>
    <w:p w:rsidR="008D5DB9" w:rsidRDefault="008D5DB9" w:rsidP="008D5DB9">
      <w:pPr>
        <w:autoSpaceDE w:val="0"/>
        <w:autoSpaceDN w:val="0"/>
        <w:adjustRightInd w:val="0"/>
        <w:spacing w:after="0" w:line="240" w:lineRule="auto"/>
        <w:jc w:val="both"/>
        <w:rPr>
          <w:rFonts w:ascii="Arial" w:hAnsi="Arial" w:cs="Arial"/>
          <w:bCs/>
          <w:sz w:val="24"/>
          <w:szCs w:val="24"/>
        </w:rPr>
      </w:pPr>
    </w:p>
    <w:p w:rsidR="008D5DB9" w:rsidRPr="00820794" w:rsidRDefault="008D5DB9" w:rsidP="008D5DB9">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 registro contábil da </w:t>
      </w:r>
      <w:r w:rsidRPr="00820794">
        <w:rPr>
          <w:rFonts w:ascii="Arial" w:hAnsi="Arial" w:cs="Arial"/>
          <w:bCs/>
          <w:sz w:val="24"/>
          <w:szCs w:val="24"/>
        </w:rPr>
        <w:t xml:space="preserve">movimentação financeira </w:t>
      </w:r>
      <w:r>
        <w:rPr>
          <w:rFonts w:ascii="Arial" w:hAnsi="Arial" w:cs="Arial"/>
          <w:bCs/>
          <w:sz w:val="24"/>
          <w:szCs w:val="24"/>
        </w:rPr>
        <w:t>bancária mantém o controle p</w:t>
      </w:r>
      <w:r w:rsidRPr="00820794">
        <w:rPr>
          <w:rFonts w:ascii="Arial" w:hAnsi="Arial" w:cs="Arial"/>
          <w:bCs/>
          <w:sz w:val="24"/>
          <w:szCs w:val="24"/>
        </w:rPr>
        <w:t xml:space="preserve">or fonte de recursos, conforme tabela </w:t>
      </w:r>
      <w:r>
        <w:rPr>
          <w:rFonts w:ascii="Arial" w:hAnsi="Arial" w:cs="Arial"/>
          <w:bCs/>
          <w:sz w:val="24"/>
          <w:szCs w:val="24"/>
        </w:rPr>
        <w:t>do Tribunal de Contas de Santa Catarina, TCE/SC, vigente em cada exercício. Tratam-se de recursos ordinários e vinculados. Os recursos ordinários são de livre aplicação nos gastos públicos, enquanto os recursos vinculados são aplicados na finalidade específica de cada programa, convênio e outros.</w:t>
      </w:r>
    </w:p>
    <w:p w:rsidR="008D5DB9" w:rsidRPr="00820794" w:rsidRDefault="008D5DB9" w:rsidP="008D5DB9">
      <w:pPr>
        <w:autoSpaceDE w:val="0"/>
        <w:autoSpaceDN w:val="0"/>
        <w:adjustRightInd w:val="0"/>
        <w:spacing w:after="0" w:line="240" w:lineRule="auto"/>
        <w:jc w:val="both"/>
        <w:rPr>
          <w:rFonts w:ascii="Arial" w:hAnsi="Arial" w:cs="Arial"/>
          <w:bCs/>
          <w:sz w:val="24"/>
          <w:szCs w:val="24"/>
        </w:rPr>
      </w:pPr>
    </w:p>
    <w:p w:rsidR="008D5DB9" w:rsidRDefault="008D5DB9" w:rsidP="008D5DB9">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Os recursos públicos são aplicados em instituições financeiras</w:t>
      </w:r>
      <w:r>
        <w:rPr>
          <w:rFonts w:ascii="Arial" w:hAnsi="Arial" w:cs="Arial"/>
          <w:bCs/>
          <w:sz w:val="24"/>
          <w:szCs w:val="24"/>
        </w:rPr>
        <w:t xml:space="preserve"> </w:t>
      </w:r>
      <w:r w:rsidRPr="00820794">
        <w:rPr>
          <w:rFonts w:ascii="Arial" w:hAnsi="Arial" w:cs="Arial"/>
          <w:bCs/>
          <w:sz w:val="24"/>
          <w:szCs w:val="24"/>
        </w:rPr>
        <w:t>que apresentarem rentabilidade e segurança, respeitadas as cláusulas vigentes em contratos.</w:t>
      </w:r>
    </w:p>
    <w:p w:rsidR="008D5DB9" w:rsidRDefault="008D5DB9" w:rsidP="008D5DB9">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3A6484"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b</w:t>
      </w:r>
      <w:r w:rsidR="008A3226" w:rsidRPr="003A6484">
        <w:rPr>
          <w:rFonts w:ascii="Arial" w:hAnsi="Arial" w:cs="Arial"/>
          <w:color w:val="215868" w:themeColor="accent5" w:themeShade="80"/>
          <w:sz w:val="24"/>
          <w:szCs w:val="24"/>
        </w:rPr>
        <w:t>) Direitos, créditos e valores a curto prazo</w:t>
      </w:r>
    </w:p>
    <w:tbl>
      <w:tblPr>
        <w:tblW w:w="9134" w:type="dxa"/>
        <w:tblInd w:w="70" w:type="dxa"/>
        <w:tblCellMar>
          <w:left w:w="70" w:type="dxa"/>
          <w:right w:w="70" w:type="dxa"/>
        </w:tblCellMar>
        <w:tblLook w:val="04A0" w:firstRow="1" w:lastRow="0" w:firstColumn="1" w:lastColumn="0" w:noHBand="0" w:noVBand="1"/>
      </w:tblPr>
      <w:tblGrid>
        <w:gridCol w:w="1338"/>
        <w:gridCol w:w="5325"/>
        <w:gridCol w:w="1195"/>
        <w:gridCol w:w="1276"/>
      </w:tblGrid>
      <w:tr w:rsidR="00956C7B" w:rsidRPr="00FD1215" w:rsidTr="009755B2">
        <w:trPr>
          <w:trHeight w:val="255"/>
        </w:trPr>
        <w:tc>
          <w:tcPr>
            <w:tcW w:w="1338" w:type="dxa"/>
            <w:tcBorders>
              <w:top w:val="single" w:sz="8" w:space="0" w:color="4BACC6"/>
              <w:left w:val="single" w:sz="8" w:space="0" w:color="4BACC6"/>
              <w:bottom w:val="single" w:sz="8" w:space="0" w:color="4BACC6"/>
              <w:right w:val="nil"/>
            </w:tcBorders>
            <w:shd w:val="clear" w:color="000000" w:fill="4BACC6"/>
            <w:vAlign w:val="center"/>
            <w:hideMark/>
          </w:tcPr>
          <w:p w:rsidR="00956C7B" w:rsidRPr="00FD1215" w:rsidRDefault="00956C7B" w:rsidP="00FD1215">
            <w:pPr>
              <w:spacing w:after="0" w:line="240" w:lineRule="auto"/>
              <w:jc w:val="both"/>
              <w:rPr>
                <w:rFonts w:ascii="Arial" w:eastAsia="Times New Roman" w:hAnsi="Arial" w:cs="Arial"/>
                <w:b/>
                <w:bCs/>
                <w:color w:val="000000"/>
                <w:sz w:val="20"/>
                <w:szCs w:val="20"/>
                <w:lang w:eastAsia="pt-BR"/>
              </w:rPr>
            </w:pPr>
            <w:r w:rsidRPr="00FD1215">
              <w:rPr>
                <w:rFonts w:ascii="Arial" w:eastAsia="Times New Roman" w:hAnsi="Arial" w:cs="Arial"/>
                <w:b/>
                <w:bCs/>
                <w:color w:val="000000" w:themeColor="text1"/>
                <w:sz w:val="20"/>
                <w:szCs w:val="20"/>
                <w:lang w:eastAsia="pt-BR"/>
              </w:rPr>
              <w:t>CONTA</w:t>
            </w:r>
          </w:p>
        </w:tc>
        <w:tc>
          <w:tcPr>
            <w:tcW w:w="5325" w:type="dxa"/>
            <w:tcBorders>
              <w:top w:val="single" w:sz="8" w:space="0" w:color="4BACC6"/>
              <w:left w:val="nil"/>
              <w:bottom w:val="single" w:sz="8" w:space="0" w:color="4BACC6"/>
              <w:right w:val="nil"/>
            </w:tcBorders>
            <w:shd w:val="clear" w:color="000000" w:fill="4BACC6"/>
            <w:vAlign w:val="center"/>
            <w:hideMark/>
          </w:tcPr>
          <w:p w:rsidR="00956C7B" w:rsidRPr="00FD1215" w:rsidRDefault="00956C7B" w:rsidP="00FD1215">
            <w:pPr>
              <w:spacing w:after="0" w:line="240" w:lineRule="auto"/>
              <w:jc w:val="both"/>
              <w:rPr>
                <w:rFonts w:ascii="Arial" w:eastAsia="Times New Roman" w:hAnsi="Arial" w:cs="Arial"/>
                <w:b/>
                <w:bCs/>
                <w:color w:val="000000"/>
                <w:sz w:val="20"/>
                <w:szCs w:val="20"/>
                <w:lang w:eastAsia="pt-BR"/>
              </w:rPr>
            </w:pPr>
            <w:r w:rsidRPr="00FD1215">
              <w:rPr>
                <w:rFonts w:ascii="Arial" w:eastAsia="Times New Roman" w:hAnsi="Arial" w:cs="Arial"/>
                <w:b/>
                <w:bCs/>
                <w:color w:val="000000" w:themeColor="text1"/>
                <w:sz w:val="20"/>
                <w:szCs w:val="20"/>
                <w:lang w:eastAsia="pt-BR"/>
              </w:rPr>
              <w:t>DESCRIÇÃO</w:t>
            </w:r>
          </w:p>
        </w:tc>
        <w:tc>
          <w:tcPr>
            <w:tcW w:w="1195" w:type="dxa"/>
            <w:tcBorders>
              <w:top w:val="single" w:sz="8" w:space="0" w:color="4BACC6"/>
              <w:left w:val="nil"/>
              <w:bottom w:val="single" w:sz="8" w:space="0" w:color="4BACC6"/>
              <w:right w:val="nil"/>
            </w:tcBorders>
            <w:shd w:val="clear" w:color="000000" w:fill="4BACC6"/>
          </w:tcPr>
          <w:p w:rsidR="00956C7B" w:rsidRPr="00FD1215" w:rsidRDefault="00956C7B" w:rsidP="00956C7B">
            <w:pPr>
              <w:spacing w:after="0" w:line="240" w:lineRule="auto"/>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2019</w:t>
            </w:r>
          </w:p>
        </w:tc>
        <w:tc>
          <w:tcPr>
            <w:tcW w:w="1276" w:type="dxa"/>
            <w:tcBorders>
              <w:top w:val="single" w:sz="8" w:space="0" w:color="4BACC6"/>
              <w:left w:val="nil"/>
              <w:bottom w:val="single" w:sz="8" w:space="0" w:color="4BACC6"/>
              <w:right w:val="single" w:sz="8" w:space="0" w:color="4BACC6"/>
            </w:tcBorders>
            <w:shd w:val="clear" w:color="000000" w:fill="4BACC6"/>
            <w:vAlign w:val="center"/>
            <w:hideMark/>
          </w:tcPr>
          <w:p w:rsidR="00956C7B" w:rsidRPr="00FD1215" w:rsidRDefault="00956C7B" w:rsidP="00FD1215">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themeColor="text1"/>
                <w:sz w:val="20"/>
                <w:szCs w:val="20"/>
                <w:lang w:eastAsia="pt-BR"/>
              </w:rPr>
              <w:t>2018</w:t>
            </w:r>
          </w:p>
        </w:tc>
      </w:tr>
      <w:tr w:rsidR="00956C7B" w:rsidRPr="00FD1215" w:rsidTr="009755B2">
        <w:trPr>
          <w:trHeight w:val="255"/>
        </w:trPr>
        <w:tc>
          <w:tcPr>
            <w:tcW w:w="1338" w:type="dxa"/>
            <w:tcBorders>
              <w:top w:val="nil"/>
              <w:left w:val="single" w:sz="8" w:space="0" w:color="92CDDC"/>
              <w:bottom w:val="single" w:sz="8" w:space="0" w:color="92CDDC"/>
              <w:right w:val="single" w:sz="8" w:space="0" w:color="92CDDC"/>
            </w:tcBorders>
            <w:shd w:val="clear" w:color="auto" w:fill="auto"/>
            <w:vAlign w:val="center"/>
            <w:hideMark/>
          </w:tcPr>
          <w:p w:rsidR="00956C7B" w:rsidRPr="00FD1215" w:rsidRDefault="00956C7B" w:rsidP="00FD1215">
            <w:pPr>
              <w:spacing w:after="0" w:line="240" w:lineRule="auto"/>
              <w:jc w:val="both"/>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1.1.3.1</w:t>
            </w:r>
          </w:p>
        </w:tc>
        <w:tc>
          <w:tcPr>
            <w:tcW w:w="5325" w:type="dxa"/>
            <w:tcBorders>
              <w:top w:val="nil"/>
              <w:left w:val="nil"/>
              <w:bottom w:val="single" w:sz="8" w:space="0" w:color="92CDDC"/>
              <w:right w:val="single" w:sz="8" w:space="0" w:color="92CDDC"/>
            </w:tcBorders>
            <w:shd w:val="clear" w:color="auto" w:fill="auto"/>
            <w:vAlign w:val="center"/>
            <w:hideMark/>
          </w:tcPr>
          <w:p w:rsidR="00956C7B" w:rsidRPr="00FD1215" w:rsidRDefault="00956C7B" w:rsidP="00FD1215">
            <w:pPr>
              <w:spacing w:after="0" w:line="240" w:lineRule="auto"/>
              <w:jc w:val="both"/>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Adiantamentos Concedidos</w:t>
            </w:r>
          </w:p>
        </w:tc>
        <w:tc>
          <w:tcPr>
            <w:tcW w:w="1195" w:type="dxa"/>
            <w:tcBorders>
              <w:top w:val="nil"/>
              <w:left w:val="nil"/>
              <w:bottom w:val="single" w:sz="8" w:space="0" w:color="92CDDC"/>
              <w:right w:val="single" w:sz="4" w:space="0" w:color="4BACC6" w:themeColor="accent5"/>
            </w:tcBorders>
          </w:tcPr>
          <w:p w:rsidR="00956C7B" w:rsidRPr="00FD1215" w:rsidRDefault="00956C7B" w:rsidP="00FD121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27.351,87</w:t>
            </w:r>
          </w:p>
        </w:tc>
        <w:tc>
          <w:tcPr>
            <w:tcW w:w="1276" w:type="dxa"/>
            <w:tcBorders>
              <w:top w:val="nil"/>
              <w:left w:val="single" w:sz="4" w:space="0" w:color="4BACC6" w:themeColor="accent5"/>
              <w:bottom w:val="single" w:sz="8" w:space="0" w:color="92CDDC"/>
              <w:right w:val="single" w:sz="8" w:space="0" w:color="92CDDC"/>
            </w:tcBorders>
            <w:shd w:val="clear" w:color="auto" w:fill="auto"/>
            <w:vAlign w:val="center"/>
            <w:hideMark/>
          </w:tcPr>
          <w:p w:rsidR="00956C7B" w:rsidRPr="00FD1215" w:rsidRDefault="00956C7B" w:rsidP="00FD1215">
            <w:pPr>
              <w:spacing w:after="0" w:line="240" w:lineRule="auto"/>
              <w:jc w:val="right"/>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20.029,22</w:t>
            </w:r>
          </w:p>
        </w:tc>
      </w:tr>
      <w:tr w:rsidR="00956C7B" w:rsidRPr="00FD1215" w:rsidTr="009755B2">
        <w:trPr>
          <w:trHeight w:val="255"/>
        </w:trPr>
        <w:tc>
          <w:tcPr>
            <w:tcW w:w="1338" w:type="dxa"/>
            <w:tcBorders>
              <w:top w:val="nil"/>
              <w:left w:val="single" w:sz="8" w:space="0" w:color="92CDDC"/>
              <w:bottom w:val="single" w:sz="8" w:space="0" w:color="92CDDC"/>
              <w:right w:val="single" w:sz="8" w:space="0" w:color="92CDDC"/>
            </w:tcBorders>
            <w:shd w:val="clear" w:color="000000" w:fill="DAEEF3"/>
            <w:vAlign w:val="center"/>
            <w:hideMark/>
          </w:tcPr>
          <w:p w:rsidR="00956C7B" w:rsidRPr="00FD1215" w:rsidRDefault="00956C7B" w:rsidP="00FD1215">
            <w:pPr>
              <w:spacing w:after="0" w:line="240" w:lineRule="auto"/>
              <w:jc w:val="both"/>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1.1.3.4</w:t>
            </w:r>
          </w:p>
        </w:tc>
        <w:tc>
          <w:tcPr>
            <w:tcW w:w="5325" w:type="dxa"/>
            <w:tcBorders>
              <w:top w:val="nil"/>
              <w:left w:val="nil"/>
              <w:bottom w:val="single" w:sz="8" w:space="0" w:color="92CDDC"/>
              <w:right w:val="single" w:sz="8" w:space="0" w:color="92CDDC"/>
            </w:tcBorders>
            <w:shd w:val="clear" w:color="000000" w:fill="DAEEF3"/>
            <w:vAlign w:val="center"/>
            <w:hideMark/>
          </w:tcPr>
          <w:p w:rsidR="00956C7B" w:rsidRPr="00FD1215" w:rsidRDefault="002260FC" w:rsidP="00FD1215">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Créditos p</w:t>
            </w:r>
            <w:r w:rsidR="008D5DB9">
              <w:rPr>
                <w:rFonts w:ascii="Arial" w:eastAsia="Times New Roman" w:hAnsi="Arial" w:cs="Arial"/>
                <w:color w:val="000000"/>
                <w:sz w:val="20"/>
                <w:szCs w:val="20"/>
                <w:lang w:eastAsia="pt-BR"/>
              </w:rPr>
              <w:t>or Danos a</w:t>
            </w:r>
            <w:r w:rsidR="00956C7B" w:rsidRPr="00FD1215">
              <w:rPr>
                <w:rFonts w:ascii="Arial" w:eastAsia="Times New Roman" w:hAnsi="Arial" w:cs="Arial"/>
                <w:color w:val="000000"/>
                <w:sz w:val="20"/>
                <w:szCs w:val="20"/>
                <w:lang w:eastAsia="pt-BR"/>
              </w:rPr>
              <w:t>o Patrimônio</w:t>
            </w:r>
          </w:p>
        </w:tc>
        <w:tc>
          <w:tcPr>
            <w:tcW w:w="1195" w:type="dxa"/>
            <w:tcBorders>
              <w:top w:val="nil"/>
              <w:left w:val="nil"/>
              <w:bottom w:val="single" w:sz="8" w:space="0" w:color="92CDDC"/>
              <w:right w:val="single" w:sz="4" w:space="0" w:color="4BACC6" w:themeColor="accent5"/>
            </w:tcBorders>
            <w:shd w:val="clear" w:color="000000" w:fill="DAEEF3"/>
          </w:tcPr>
          <w:p w:rsidR="00956C7B" w:rsidRPr="00FD1215" w:rsidRDefault="00956C7B" w:rsidP="00FD121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2.231,03</w:t>
            </w:r>
          </w:p>
        </w:tc>
        <w:tc>
          <w:tcPr>
            <w:tcW w:w="1276"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956C7B" w:rsidRPr="00FD1215" w:rsidRDefault="00956C7B" w:rsidP="00FD1215">
            <w:pPr>
              <w:spacing w:after="0" w:line="240" w:lineRule="auto"/>
              <w:jc w:val="right"/>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2.231,03</w:t>
            </w:r>
          </w:p>
        </w:tc>
      </w:tr>
      <w:tr w:rsidR="00956C7B" w:rsidRPr="00FD1215" w:rsidTr="009755B2">
        <w:trPr>
          <w:trHeight w:val="255"/>
        </w:trPr>
        <w:tc>
          <w:tcPr>
            <w:tcW w:w="1338" w:type="dxa"/>
            <w:tcBorders>
              <w:top w:val="nil"/>
              <w:left w:val="single" w:sz="8" w:space="0" w:color="92CDDC"/>
              <w:bottom w:val="single" w:sz="8" w:space="0" w:color="92CDDC"/>
              <w:right w:val="single" w:sz="8" w:space="0" w:color="92CDDC"/>
            </w:tcBorders>
            <w:shd w:val="clear" w:color="auto" w:fill="auto"/>
            <w:vAlign w:val="center"/>
            <w:hideMark/>
          </w:tcPr>
          <w:p w:rsidR="00956C7B" w:rsidRPr="00FD1215" w:rsidRDefault="00956C7B" w:rsidP="00FD1215">
            <w:pPr>
              <w:spacing w:after="0" w:line="240" w:lineRule="auto"/>
              <w:jc w:val="both"/>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1.1.9.xx</w:t>
            </w:r>
          </w:p>
        </w:tc>
        <w:tc>
          <w:tcPr>
            <w:tcW w:w="5325" w:type="dxa"/>
            <w:tcBorders>
              <w:top w:val="nil"/>
              <w:left w:val="nil"/>
              <w:bottom w:val="single" w:sz="8" w:space="0" w:color="92CDDC"/>
              <w:right w:val="single" w:sz="8" w:space="0" w:color="92CDDC"/>
            </w:tcBorders>
            <w:shd w:val="clear" w:color="auto" w:fill="auto"/>
            <w:vAlign w:val="center"/>
            <w:hideMark/>
          </w:tcPr>
          <w:p w:rsidR="00956C7B" w:rsidRPr="00FD1215" w:rsidRDefault="00956C7B" w:rsidP="00FD1215">
            <w:pPr>
              <w:spacing w:after="0" w:line="240" w:lineRule="auto"/>
              <w:jc w:val="both"/>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Variações patrimoniais pagas antecipadamente</w:t>
            </w:r>
          </w:p>
        </w:tc>
        <w:tc>
          <w:tcPr>
            <w:tcW w:w="1195" w:type="dxa"/>
            <w:tcBorders>
              <w:top w:val="nil"/>
              <w:left w:val="nil"/>
              <w:bottom w:val="single" w:sz="8" w:space="0" w:color="92CDDC"/>
              <w:right w:val="single" w:sz="4" w:space="0" w:color="4BACC6" w:themeColor="accent5"/>
            </w:tcBorders>
          </w:tcPr>
          <w:p w:rsidR="00956C7B" w:rsidRPr="00FD1215" w:rsidRDefault="00956C7B" w:rsidP="00FD1215">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7.094,97</w:t>
            </w:r>
          </w:p>
        </w:tc>
        <w:tc>
          <w:tcPr>
            <w:tcW w:w="1276" w:type="dxa"/>
            <w:tcBorders>
              <w:top w:val="nil"/>
              <w:left w:val="single" w:sz="4" w:space="0" w:color="4BACC6" w:themeColor="accent5"/>
              <w:bottom w:val="single" w:sz="8" w:space="0" w:color="92CDDC"/>
              <w:right w:val="single" w:sz="8" w:space="0" w:color="92CDDC"/>
            </w:tcBorders>
            <w:shd w:val="clear" w:color="auto" w:fill="auto"/>
            <w:vAlign w:val="center"/>
            <w:hideMark/>
          </w:tcPr>
          <w:p w:rsidR="00956C7B" w:rsidRPr="00FD1215" w:rsidRDefault="00956C7B" w:rsidP="00FD1215">
            <w:pPr>
              <w:spacing w:after="0" w:line="240" w:lineRule="auto"/>
              <w:jc w:val="right"/>
              <w:rPr>
                <w:rFonts w:ascii="Arial" w:eastAsia="Times New Roman" w:hAnsi="Arial" w:cs="Arial"/>
                <w:color w:val="000000"/>
                <w:sz w:val="20"/>
                <w:szCs w:val="20"/>
                <w:lang w:eastAsia="pt-BR"/>
              </w:rPr>
            </w:pPr>
            <w:r w:rsidRPr="00FD1215">
              <w:rPr>
                <w:rFonts w:ascii="Arial" w:eastAsia="Times New Roman" w:hAnsi="Arial" w:cs="Arial"/>
                <w:color w:val="000000"/>
                <w:sz w:val="20"/>
                <w:szCs w:val="20"/>
                <w:lang w:eastAsia="pt-BR"/>
              </w:rPr>
              <w:t>14.241,69</w:t>
            </w:r>
          </w:p>
        </w:tc>
      </w:tr>
      <w:tr w:rsidR="00956C7B" w:rsidRPr="00FD1215" w:rsidTr="009755B2">
        <w:trPr>
          <w:trHeight w:val="255"/>
        </w:trPr>
        <w:tc>
          <w:tcPr>
            <w:tcW w:w="6663" w:type="dxa"/>
            <w:gridSpan w:val="2"/>
            <w:tcBorders>
              <w:top w:val="single" w:sz="8" w:space="0" w:color="92CDDC"/>
              <w:left w:val="single" w:sz="8" w:space="0" w:color="92CDDC"/>
              <w:bottom w:val="single" w:sz="8" w:space="0" w:color="92CDDC"/>
              <w:right w:val="single" w:sz="8" w:space="0" w:color="92CDDC"/>
            </w:tcBorders>
            <w:shd w:val="clear" w:color="000000" w:fill="DAEEF3"/>
            <w:vAlign w:val="center"/>
            <w:hideMark/>
          </w:tcPr>
          <w:p w:rsidR="00956C7B" w:rsidRPr="00FD1215" w:rsidRDefault="00956C7B" w:rsidP="00FD1215">
            <w:pPr>
              <w:spacing w:after="0" w:line="240" w:lineRule="auto"/>
              <w:jc w:val="center"/>
              <w:rPr>
                <w:rFonts w:ascii="Arial" w:eastAsia="Times New Roman" w:hAnsi="Arial" w:cs="Arial"/>
                <w:b/>
                <w:bCs/>
                <w:color w:val="000000"/>
                <w:sz w:val="20"/>
                <w:szCs w:val="20"/>
                <w:lang w:eastAsia="pt-BR"/>
              </w:rPr>
            </w:pPr>
            <w:r w:rsidRPr="00FD1215">
              <w:rPr>
                <w:rFonts w:ascii="Arial" w:eastAsia="Times New Roman" w:hAnsi="Arial" w:cs="Arial"/>
                <w:b/>
                <w:bCs/>
                <w:color w:val="000000"/>
                <w:sz w:val="20"/>
                <w:szCs w:val="20"/>
                <w:lang w:eastAsia="pt-BR"/>
              </w:rPr>
              <w:t>Total</w:t>
            </w:r>
          </w:p>
        </w:tc>
        <w:tc>
          <w:tcPr>
            <w:tcW w:w="1195" w:type="dxa"/>
            <w:tcBorders>
              <w:top w:val="nil"/>
              <w:left w:val="nil"/>
              <w:bottom w:val="single" w:sz="8" w:space="0" w:color="92CDDC"/>
              <w:right w:val="single" w:sz="4" w:space="0" w:color="4BACC6" w:themeColor="accent5"/>
            </w:tcBorders>
            <w:shd w:val="clear" w:color="000000" w:fill="DAEEF3"/>
          </w:tcPr>
          <w:p w:rsidR="00956C7B" w:rsidRPr="00FD1215" w:rsidRDefault="00956C7B" w:rsidP="00FD1215">
            <w:pPr>
              <w:spacing w:after="0" w:line="240" w:lineRule="auto"/>
              <w:jc w:val="right"/>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36.677,87</w:t>
            </w:r>
          </w:p>
        </w:tc>
        <w:tc>
          <w:tcPr>
            <w:tcW w:w="1276"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956C7B" w:rsidRPr="00FD1215" w:rsidRDefault="00956C7B" w:rsidP="00FD1215">
            <w:pPr>
              <w:spacing w:after="0" w:line="240" w:lineRule="auto"/>
              <w:jc w:val="right"/>
              <w:rPr>
                <w:rFonts w:ascii="Arial" w:eastAsia="Times New Roman" w:hAnsi="Arial" w:cs="Arial"/>
                <w:b/>
                <w:bCs/>
                <w:color w:val="000000"/>
                <w:sz w:val="20"/>
                <w:szCs w:val="20"/>
                <w:lang w:eastAsia="pt-BR"/>
              </w:rPr>
            </w:pPr>
            <w:r w:rsidRPr="00FD1215">
              <w:rPr>
                <w:rFonts w:ascii="Arial" w:eastAsia="Times New Roman" w:hAnsi="Arial" w:cs="Arial"/>
                <w:b/>
                <w:bCs/>
                <w:color w:val="000000" w:themeColor="text1"/>
                <w:sz w:val="20"/>
                <w:szCs w:val="20"/>
                <w:lang w:eastAsia="pt-BR"/>
              </w:rPr>
              <w:t>36.501,94</w:t>
            </w:r>
          </w:p>
        </w:tc>
      </w:tr>
    </w:tbl>
    <w:p w:rsidR="008A3226" w:rsidRDefault="008A3226" w:rsidP="00807064">
      <w:pPr>
        <w:autoSpaceDE w:val="0"/>
        <w:autoSpaceDN w:val="0"/>
        <w:adjustRightInd w:val="0"/>
        <w:spacing w:after="0" w:line="240" w:lineRule="auto"/>
        <w:jc w:val="both"/>
        <w:rPr>
          <w:rFonts w:ascii="Arial" w:hAnsi="Arial" w:cs="Arial"/>
          <w:bCs/>
        </w:rPr>
      </w:pPr>
    </w:p>
    <w:p w:rsidR="00755410" w:rsidRDefault="00755410" w:rsidP="0075541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A conta adiantamentos reflete os valores de férias pagos antecipadamente aos servidores públicos municipais. </w:t>
      </w:r>
    </w:p>
    <w:p w:rsidR="00755410" w:rsidRPr="00D00401" w:rsidRDefault="00755410" w:rsidP="00807064">
      <w:pPr>
        <w:autoSpaceDE w:val="0"/>
        <w:autoSpaceDN w:val="0"/>
        <w:adjustRightInd w:val="0"/>
        <w:spacing w:after="0" w:line="240" w:lineRule="auto"/>
        <w:jc w:val="both"/>
        <w:rPr>
          <w:rFonts w:ascii="Arial" w:hAnsi="Arial" w:cs="Arial"/>
          <w:bCs/>
          <w:color w:val="215868" w:themeColor="accent5" w:themeShade="80"/>
          <w:sz w:val="24"/>
          <w:szCs w:val="24"/>
        </w:rPr>
      </w:pPr>
    </w:p>
    <w:p w:rsidR="00755410" w:rsidRPr="00D00401" w:rsidRDefault="00755410" w:rsidP="00755410">
      <w:pPr>
        <w:autoSpaceDE w:val="0"/>
        <w:autoSpaceDN w:val="0"/>
        <w:adjustRightInd w:val="0"/>
        <w:spacing w:after="0" w:line="240" w:lineRule="auto"/>
        <w:jc w:val="both"/>
        <w:rPr>
          <w:rFonts w:ascii="Arial" w:hAnsi="Arial" w:cs="Arial"/>
          <w:bCs/>
          <w:sz w:val="24"/>
          <w:szCs w:val="24"/>
        </w:rPr>
      </w:pPr>
      <w:r w:rsidRPr="00D00401">
        <w:rPr>
          <w:rFonts w:ascii="Arial" w:hAnsi="Arial" w:cs="Arial"/>
          <w:bCs/>
          <w:sz w:val="24"/>
          <w:szCs w:val="24"/>
        </w:rPr>
        <w:t xml:space="preserve">O valor dos créditos por danos ao patrimônio no curto prazo, no montante de R$ 2.231,03 </w:t>
      </w:r>
      <w:r w:rsidR="00D00401" w:rsidRPr="00D00401">
        <w:rPr>
          <w:rFonts w:ascii="Arial" w:hAnsi="Arial" w:cs="Arial"/>
          <w:bCs/>
          <w:sz w:val="24"/>
          <w:szCs w:val="24"/>
        </w:rPr>
        <w:t>é relativo ao reconhecimento de processos sobre pagamento de multas de trânsito</w:t>
      </w:r>
      <w:r w:rsidR="008D5DB9" w:rsidRPr="00D00401">
        <w:rPr>
          <w:rFonts w:ascii="Arial" w:hAnsi="Arial" w:cs="Arial"/>
          <w:bCs/>
          <w:sz w:val="24"/>
          <w:szCs w:val="24"/>
        </w:rPr>
        <w:t>.</w:t>
      </w:r>
    </w:p>
    <w:p w:rsidR="00755410" w:rsidRDefault="00755410" w:rsidP="00807064">
      <w:pPr>
        <w:autoSpaceDE w:val="0"/>
        <w:autoSpaceDN w:val="0"/>
        <w:adjustRightInd w:val="0"/>
        <w:spacing w:after="0" w:line="240" w:lineRule="auto"/>
        <w:jc w:val="both"/>
        <w:rPr>
          <w:rFonts w:ascii="Arial" w:hAnsi="Arial" w:cs="Arial"/>
          <w:bCs/>
          <w:sz w:val="24"/>
          <w:szCs w:val="24"/>
        </w:rPr>
      </w:pPr>
    </w:p>
    <w:p w:rsidR="00CD170A" w:rsidRDefault="009E120F" w:rsidP="00807064">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Fundo Municipal de Saúde</w:t>
      </w:r>
      <w:r w:rsidR="00CD170A">
        <w:rPr>
          <w:rFonts w:ascii="Arial" w:hAnsi="Arial" w:cs="Arial"/>
          <w:bCs/>
          <w:sz w:val="24"/>
          <w:szCs w:val="24"/>
        </w:rPr>
        <w:t xml:space="preserve"> controla e reconhece as despesas pagas antecipadamente com seguros e assinaturas, atendendo as exigências das NBCASP.</w:t>
      </w:r>
    </w:p>
    <w:p w:rsidR="00CD170A" w:rsidRDefault="00CD170A" w:rsidP="00807064">
      <w:pPr>
        <w:autoSpaceDE w:val="0"/>
        <w:autoSpaceDN w:val="0"/>
        <w:adjustRightInd w:val="0"/>
        <w:spacing w:after="0" w:line="240" w:lineRule="auto"/>
        <w:jc w:val="both"/>
        <w:rPr>
          <w:rFonts w:ascii="Arial" w:hAnsi="Arial" w:cs="Arial"/>
          <w:bCs/>
          <w:sz w:val="24"/>
          <w:szCs w:val="24"/>
        </w:rPr>
      </w:pPr>
    </w:p>
    <w:p w:rsidR="008A7EBA" w:rsidRDefault="008A7EBA" w:rsidP="00807064">
      <w:pPr>
        <w:autoSpaceDE w:val="0"/>
        <w:autoSpaceDN w:val="0"/>
        <w:adjustRightInd w:val="0"/>
        <w:spacing w:after="0" w:line="240" w:lineRule="auto"/>
        <w:jc w:val="both"/>
        <w:rPr>
          <w:rFonts w:ascii="Arial" w:hAnsi="Arial" w:cs="Arial"/>
          <w:b/>
          <w:bCs/>
          <w:color w:val="215868" w:themeColor="accent5" w:themeShade="80"/>
        </w:rPr>
      </w:pPr>
    </w:p>
    <w:p w:rsidR="008A3226" w:rsidRPr="003A6484"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c</w:t>
      </w:r>
      <w:r w:rsidR="008A3226" w:rsidRPr="003A6484">
        <w:rPr>
          <w:rFonts w:ascii="Arial" w:hAnsi="Arial" w:cs="Arial"/>
          <w:color w:val="215868" w:themeColor="accent5" w:themeShade="80"/>
          <w:sz w:val="24"/>
          <w:szCs w:val="24"/>
        </w:rPr>
        <w:t>) Direitos, créditos e valores a longo prazo</w:t>
      </w:r>
    </w:p>
    <w:tbl>
      <w:tblPr>
        <w:tblStyle w:val="TabeladeGrade4-nfase52"/>
        <w:tblW w:w="9101" w:type="dxa"/>
        <w:tblInd w:w="108" w:type="dxa"/>
        <w:tblLook w:val="04A0" w:firstRow="1" w:lastRow="0" w:firstColumn="1" w:lastColumn="0" w:noHBand="0" w:noVBand="1"/>
      </w:tblPr>
      <w:tblGrid>
        <w:gridCol w:w="2235"/>
        <w:gridCol w:w="3748"/>
        <w:gridCol w:w="1559"/>
        <w:gridCol w:w="1559"/>
      </w:tblGrid>
      <w:tr w:rsidR="00956C7B" w:rsidRPr="001C782F" w:rsidTr="009755B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35" w:type="dxa"/>
          </w:tcPr>
          <w:p w:rsidR="00956C7B" w:rsidRPr="0026351F" w:rsidRDefault="00956C7B" w:rsidP="00527F0C">
            <w:pPr>
              <w:autoSpaceDE w:val="0"/>
              <w:autoSpaceDN w:val="0"/>
              <w:adjustRightInd w:val="0"/>
              <w:jc w:val="both"/>
              <w:rPr>
                <w:rFonts w:ascii="Arial" w:hAnsi="Arial" w:cs="Arial"/>
                <w:b w:val="0"/>
                <w:color w:val="auto"/>
                <w:sz w:val="20"/>
                <w:szCs w:val="20"/>
              </w:rPr>
            </w:pPr>
            <w:r w:rsidRPr="0026351F">
              <w:rPr>
                <w:rFonts w:ascii="Arial" w:hAnsi="Arial" w:cs="Arial"/>
                <w:color w:val="auto"/>
                <w:sz w:val="20"/>
                <w:szCs w:val="20"/>
              </w:rPr>
              <w:t>CONTA</w:t>
            </w:r>
          </w:p>
        </w:tc>
        <w:tc>
          <w:tcPr>
            <w:tcW w:w="3748" w:type="dxa"/>
          </w:tcPr>
          <w:p w:rsidR="00956C7B" w:rsidRPr="0026351F" w:rsidRDefault="00956C7B" w:rsidP="00527F0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6351F">
              <w:rPr>
                <w:rFonts w:ascii="Arial" w:hAnsi="Arial" w:cs="Arial"/>
                <w:color w:val="auto"/>
                <w:sz w:val="20"/>
                <w:szCs w:val="20"/>
              </w:rPr>
              <w:t>DESCRIÇÃO</w:t>
            </w:r>
          </w:p>
        </w:tc>
        <w:tc>
          <w:tcPr>
            <w:tcW w:w="1559" w:type="dxa"/>
          </w:tcPr>
          <w:p w:rsidR="00956C7B" w:rsidRPr="0026351F" w:rsidRDefault="00956C7B" w:rsidP="00527F0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6C7B">
              <w:rPr>
                <w:rFonts w:ascii="Arial" w:hAnsi="Arial" w:cs="Arial"/>
                <w:color w:val="auto"/>
                <w:sz w:val="20"/>
                <w:szCs w:val="20"/>
              </w:rPr>
              <w:t>2019</w:t>
            </w:r>
          </w:p>
        </w:tc>
        <w:tc>
          <w:tcPr>
            <w:tcW w:w="1559" w:type="dxa"/>
          </w:tcPr>
          <w:p w:rsidR="00956C7B" w:rsidRPr="0026351F" w:rsidRDefault="00956C7B" w:rsidP="00527F0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color w:val="auto"/>
                <w:sz w:val="20"/>
                <w:szCs w:val="20"/>
              </w:rPr>
              <w:t>2018</w:t>
            </w:r>
          </w:p>
        </w:tc>
      </w:tr>
      <w:tr w:rsidR="00956C7B" w:rsidRPr="001C782F"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35" w:type="dxa"/>
          </w:tcPr>
          <w:p w:rsidR="00956C7B" w:rsidRPr="0026351F" w:rsidRDefault="00956C7B" w:rsidP="00527F0C">
            <w:pPr>
              <w:autoSpaceDE w:val="0"/>
              <w:autoSpaceDN w:val="0"/>
              <w:adjustRightInd w:val="0"/>
              <w:jc w:val="both"/>
              <w:rPr>
                <w:rFonts w:ascii="Arial" w:hAnsi="Arial" w:cs="Arial"/>
                <w:b w:val="0"/>
                <w:sz w:val="20"/>
                <w:szCs w:val="20"/>
              </w:rPr>
            </w:pPr>
            <w:r>
              <w:rPr>
                <w:rFonts w:ascii="Arial" w:hAnsi="Arial" w:cs="Arial"/>
                <w:b w:val="0"/>
                <w:sz w:val="20"/>
                <w:szCs w:val="20"/>
              </w:rPr>
              <w:t>1.2.1.2.1.xx</w:t>
            </w:r>
          </w:p>
        </w:tc>
        <w:tc>
          <w:tcPr>
            <w:tcW w:w="3748" w:type="dxa"/>
          </w:tcPr>
          <w:p w:rsidR="00956C7B" w:rsidRPr="0026351F" w:rsidRDefault="00956C7B" w:rsidP="00527F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Demais créditos e valores a longo prazo</w:t>
            </w:r>
          </w:p>
        </w:tc>
        <w:tc>
          <w:tcPr>
            <w:tcW w:w="1559" w:type="dxa"/>
          </w:tcPr>
          <w:p w:rsidR="00956C7B" w:rsidRDefault="00956C7B" w:rsidP="00527F0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1.940,32</w:t>
            </w:r>
          </w:p>
        </w:tc>
        <w:tc>
          <w:tcPr>
            <w:tcW w:w="1559" w:type="dxa"/>
          </w:tcPr>
          <w:p w:rsidR="00956C7B" w:rsidRPr="0026351F" w:rsidRDefault="00956C7B" w:rsidP="00527F0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1.085,39</w:t>
            </w:r>
          </w:p>
        </w:tc>
      </w:tr>
      <w:tr w:rsidR="00956C7B" w:rsidRPr="001C782F" w:rsidTr="009755B2">
        <w:trPr>
          <w:trHeight w:val="255"/>
        </w:trPr>
        <w:tc>
          <w:tcPr>
            <w:cnfStyle w:val="001000000000" w:firstRow="0" w:lastRow="0" w:firstColumn="1" w:lastColumn="0" w:oddVBand="0" w:evenVBand="0" w:oddHBand="0" w:evenHBand="0" w:firstRowFirstColumn="0" w:firstRowLastColumn="0" w:lastRowFirstColumn="0" w:lastRowLastColumn="0"/>
            <w:tcW w:w="5983" w:type="dxa"/>
            <w:gridSpan w:val="2"/>
          </w:tcPr>
          <w:p w:rsidR="00956C7B" w:rsidRPr="0026351F" w:rsidRDefault="00956C7B" w:rsidP="00527F0C">
            <w:pPr>
              <w:autoSpaceDE w:val="0"/>
              <w:autoSpaceDN w:val="0"/>
              <w:adjustRightInd w:val="0"/>
              <w:jc w:val="center"/>
              <w:rPr>
                <w:rFonts w:ascii="Arial" w:hAnsi="Arial" w:cs="Arial"/>
                <w:b w:val="0"/>
                <w:sz w:val="20"/>
                <w:szCs w:val="20"/>
              </w:rPr>
            </w:pPr>
            <w:r w:rsidRPr="0026351F">
              <w:rPr>
                <w:rFonts w:ascii="Arial" w:hAnsi="Arial" w:cs="Arial"/>
                <w:sz w:val="20"/>
                <w:szCs w:val="20"/>
              </w:rPr>
              <w:t>Total</w:t>
            </w:r>
          </w:p>
        </w:tc>
        <w:tc>
          <w:tcPr>
            <w:tcW w:w="1559" w:type="dxa"/>
          </w:tcPr>
          <w:p w:rsidR="00956C7B" w:rsidRDefault="00956C7B" w:rsidP="00527F0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1.940,32</w:t>
            </w:r>
          </w:p>
        </w:tc>
        <w:tc>
          <w:tcPr>
            <w:tcW w:w="1559" w:type="dxa"/>
          </w:tcPr>
          <w:p w:rsidR="00956C7B" w:rsidRPr="0026351F" w:rsidRDefault="00956C7B" w:rsidP="00527F0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1.085,39</w:t>
            </w:r>
          </w:p>
        </w:tc>
      </w:tr>
    </w:tbl>
    <w:p w:rsidR="00130FCA" w:rsidRDefault="00130FCA" w:rsidP="00807064">
      <w:pPr>
        <w:autoSpaceDE w:val="0"/>
        <w:autoSpaceDN w:val="0"/>
        <w:adjustRightInd w:val="0"/>
        <w:spacing w:after="0" w:line="240" w:lineRule="auto"/>
        <w:jc w:val="both"/>
        <w:rPr>
          <w:rFonts w:ascii="Arial" w:hAnsi="Arial" w:cs="Arial"/>
          <w:b/>
          <w:bCs/>
        </w:rPr>
      </w:pPr>
    </w:p>
    <w:p w:rsidR="00755410" w:rsidRDefault="00755410" w:rsidP="00755410">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Demais créditos e danos ao patrimônio provenientes de créditos</w:t>
      </w:r>
    </w:p>
    <w:p w:rsidR="00755410" w:rsidRPr="00116D9A" w:rsidRDefault="00755410" w:rsidP="00C6241A">
      <w:pPr>
        <w:spacing w:after="0" w:line="240" w:lineRule="auto"/>
        <w:jc w:val="both"/>
        <w:rPr>
          <w:rFonts w:ascii="Arial" w:hAnsi="Arial" w:cs="Arial"/>
          <w:bCs/>
          <w:sz w:val="24"/>
          <w:szCs w:val="24"/>
        </w:rPr>
      </w:pPr>
      <w:r w:rsidRPr="00116D9A">
        <w:rPr>
          <w:rFonts w:ascii="Arial" w:hAnsi="Arial" w:cs="Arial"/>
          <w:bCs/>
          <w:sz w:val="24"/>
          <w:szCs w:val="24"/>
        </w:rPr>
        <w:t xml:space="preserve">O município </w:t>
      </w:r>
      <w:r>
        <w:rPr>
          <w:rFonts w:ascii="Arial" w:hAnsi="Arial" w:cs="Arial"/>
          <w:bCs/>
          <w:sz w:val="24"/>
          <w:szCs w:val="24"/>
        </w:rPr>
        <w:t>possui R$ 1.</w:t>
      </w:r>
      <w:r w:rsidR="00FD5982">
        <w:rPr>
          <w:rFonts w:ascii="Arial" w:hAnsi="Arial" w:cs="Arial"/>
          <w:bCs/>
          <w:sz w:val="24"/>
          <w:szCs w:val="24"/>
        </w:rPr>
        <w:t>940,32</w:t>
      </w:r>
      <w:r>
        <w:rPr>
          <w:rFonts w:ascii="Arial" w:hAnsi="Arial" w:cs="Arial"/>
          <w:bCs/>
          <w:sz w:val="24"/>
          <w:szCs w:val="24"/>
        </w:rPr>
        <w:t xml:space="preserve"> por danos ao patrimônio, </w:t>
      </w:r>
      <w:r w:rsidRPr="00D00401">
        <w:rPr>
          <w:rFonts w:ascii="Arial" w:hAnsi="Arial" w:cs="Arial"/>
          <w:bCs/>
          <w:sz w:val="24"/>
          <w:szCs w:val="24"/>
        </w:rPr>
        <w:t xml:space="preserve">tendo em vista o reconhecimento </w:t>
      </w:r>
      <w:r w:rsidR="00C6241A" w:rsidRPr="00D00401">
        <w:rPr>
          <w:rFonts w:ascii="Arial" w:hAnsi="Arial" w:cs="Arial"/>
          <w:bCs/>
          <w:sz w:val="24"/>
          <w:szCs w:val="24"/>
        </w:rPr>
        <w:t>processos sobre pagamento de multas de trânsito.</w:t>
      </w:r>
    </w:p>
    <w:p w:rsidR="00755410" w:rsidRDefault="00755410" w:rsidP="00807064">
      <w:pPr>
        <w:autoSpaceDE w:val="0"/>
        <w:autoSpaceDN w:val="0"/>
        <w:adjustRightInd w:val="0"/>
        <w:spacing w:after="0" w:line="240" w:lineRule="auto"/>
        <w:jc w:val="both"/>
        <w:rPr>
          <w:rFonts w:ascii="Arial" w:hAnsi="Arial" w:cs="Arial"/>
          <w:b/>
          <w:bCs/>
        </w:rPr>
      </w:pPr>
    </w:p>
    <w:p w:rsidR="008A3226" w:rsidRPr="003A6484" w:rsidRDefault="00755410"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t>d</w:t>
      </w:r>
      <w:r w:rsidR="001C57CF" w:rsidRPr="003A6484">
        <w:rPr>
          <w:rFonts w:ascii="Arial" w:hAnsi="Arial" w:cs="Arial"/>
          <w:color w:val="215868" w:themeColor="accent5" w:themeShade="80"/>
          <w:sz w:val="24"/>
          <w:szCs w:val="24"/>
        </w:rPr>
        <w:t xml:space="preserve">) </w:t>
      </w:r>
      <w:r w:rsidR="008A3226" w:rsidRPr="003A6484">
        <w:rPr>
          <w:rFonts w:ascii="Arial" w:hAnsi="Arial" w:cs="Arial"/>
          <w:color w:val="215868" w:themeColor="accent5" w:themeShade="80"/>
          <w:sz w:val="24"/>
          <w:szCs w:val="24"/>
        </w:rPr>
        <w:t>Imobilizado</w:t>
      </w:r>
    </w:p>
    <w:p w:rsidR="00882906" w:rsidRPr="00AE1E16" w:rsidRDefault="00882906" w:rsidP="00882906">
      <w:pPr>
        <w:autoSpaceDE w:val="0"/>
        <w:autoSpaceDN w:val="0"/>
        <w:adjustRightInd w:val="0"/>
        <w:spacing w:after="0" w:line="240" w:lineRule="auto"/>
        <w:jc w:val="both"/>
        <w:rPr>
          <w:rFonts w:ascii="Arial" w:hAnsi="Arial" w:cs="Arial"/>
          <w:sz w:val="24"/>
          <w:szCs w:val="24"/>
        </w:rPr>
      </w:pPr>
      <w:r w:rsidRPr="00345C92">
        <w:rPr>
          <w:rFonts w:ascii="Arial" w:hAnsi="Arial" w:cs="Arial"/>
          <w:sz w:val="24"/>
          <w:szCs w:val="24"/>
        </w:rPr>
        <w:t xml:space="preserve">O Município de Santa Terezinha do Progresso reiniciou o procedimento de depreciação </w:t>
      </w:r>
      <w:r>
        <w:rPr>
          <w:rFonts w:ascii="Arial" w:hAnsi="Arial" w:cs="Arial"/>
          <w:sz w:val="24"/>
          <w:szCs w:val="24"/>
        </w:rPr>
        <w:t xml:space="preserve">o patrimônio imobilizado, </w:t>
      </w:r>
      <w:r w:rsidRPr="00345C92">
        <w:rPr>
          <w:rFonts w:ascii="Arial" w:hAnsi="Arial" w:cs="Arial"/>
          <w:sz w:val="24"/>
          <w:szCs w:val="24"/>
        </w:rPr>
        <w:t>no mês de dezembro de 2019, zerando a depreciação dos bens já em uso, que passaram a apresentar uma base monetária confiável, avaliados a valor atual de mercado (valor justo)</w:t>
      </w:r>
      <w:r>
        <w:rPr>
          <w:rFonts w:ascii="Arial" w:hAnsi="Arial" w:cs="Arial"/>
          <w:sz w:val="24"/>
          <w:szCs w:val="24"/>
        </w:rPr>
        <w:t xml:space="preserve"> em dezembro de 2019</w:t>
      </w:r>
      <w:r w:rsidRPr="00345C92">
        <w:rPr>
          <w:rFonts w:ascii="Arial" w:hAnsi="Arial" w:cs="Arial"/>
          <w:sz w:val="24"/>
          <w:szCs w:val="24"/>
        </w:rPr>
        <w:t>. A data de corte definida foi 01 de dezembro de 2019.</w:t>
      </w:r>
      <w:r>
        <w:rPr>
          <w:rFonts w:ascii="Arial" w:hAnsi="Arial" w:cs="Arial"/>
          <w:sz w:val="24"/>
          <w:szCs w:val="24"/>
        </w:rPr>
        <w:t xml:space="preserve"> </w:t>
      </w:r>
      <w:r w:rsidRPr="00116D9A">
        <w:rPr>
          <w:rFonts w:ascii="Arial" w:hAnsi="Arial" w:cs="Arial"/>
          <w:sz w:val="24"/>
          <w:szCs w:val="24"/>
        </w:rPr>
        <w:t xml:space="preserve">Segue tabela de depreciação do Município, SC, válida a partir </w:t>
      </w:r>
      <w:r>
        <w:rPr>
          <w:rFonts w:ascii="Arial" w:hAnsi="Arial" w:cs="Arial"/>
          <w:sz w:val="24"/>
          <w:szCs w:val="24"/>
        </w:rPr>
        <w:t>do exercício de 2019</w:t>
      </w:r>
      <w:r w:rsidRPr="00AE1E16">
        <w:rPr>
          <w:rFonts w:ascii="Arial" w:hAnsi="Arial" w:cs="Arial"/>
          <w:sz w:val="24"/>
          <w:szCs w:val="24"/>
        </w:rPr>
        <w:t>:</w:t>
      </w:r>
    </w:p>
    <w:p w:rsidR="0060731E" w:rsidRPr="00C6241A" w:rsidRDefault="0060731E" w:rsidP="0060731E">
      <w:pPr>
        <w:autoSpaceDE w:val="0"/>
        <w:autoSpaceDN w:val="0"/>
        <w:adjustRightInd w:val="0"/>
        <w:spacing w:after="0" w:line="240" w:lineRule="auto"/>
        <w:jc w:val="both"/>
        <w:rPr>
          <w:rFonts w:ascii="Arial" w:hAnsi="Arial" w:cs="Arial"/>
          <w:sz w:val="24"/>
          <w:szCs w:val="24"/>
        </w:rPr>
      </w:pPr>
    </w:p>
    <w:tbl>
      <w:tblPr>
        <w:tblStyle w:val="TabeladeGrade4-nfase52"/>
        <w:tblW w:w="9072" w:type="dxa"/>
        <w:tblInd w:w="108" w:type="dxa"/>
        <w:tblLook w:val="04A0" w:firstRow="1" w:lastRow="0" w:firstColumn="1" w:lastColumn="0" w:noHBand="0" w:noVBand="1"/>
      </w:tblPr>
      <w:tblGrid>
        <w:gridCol w:w="1551"/>
        <w:gridCol w:w="5140"/>
        <w:gridCol w:w="1187"/>
        <w:gridCol w:w="1194"/>
      </w:tblGrid>
      <w:tr w:rsidR="008A3226" w:rsidRPr="00C6241A" w:rsidTr="009755B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tcPr>
          <w:p w:rsidR="008A3226" w:rsidRPr="009755B2" w:rsidRDefault="008A3226" w:rsidP="00807064">
            <w:pPr>
              <w:pStyle w:val="SemEspaamento"/>
              <w:jc w:val="both"/>
              <w:rPr>
                <w:rFonts w:ascii="Arial" w:hAnsi="Arial" w:cs="Arial"/>
                <w:color w:val="auto"/>
                <w:sz w:val="20"/>
                <w:szCs w:val="20"/>
              </w:rPr>
            </w:pPr>
            <w:r w:rsidRPr="009755B2">
              <w:rPr>
                <w:rFonts w:ascii="Arial" w:hAnsi="Arial" w:cs="Arial"/>
                <w:color w:val="auto"/>
                <w:sz w:val="20"/>
                <w:szCs w:val="20"/>
              </w:rPr>
              <w:t>MASCARA</w:t>
            </w:r>
          </w:p>
        </w:tc>
        <w:tc>
          <w:tcPr>
            <w:tcW w:w="5140" w:type="dxa"/>
          </w:tcPr>
          <w:p w:rsidR="008A3226" w:rsidRPr="009755B2"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9755B2">
              <w:rPr>
                <w:rFonts w:ascii="Arial" w:hAnsi="Arial" w:cs="Arial"/>
                <w:color w:val="auto"/>
                <w:sz w:val="20"/>
                <w:szCs w:val="20"/>
              </w:rPr>
              <w:t>DESCRIÇÃO</w:t>
            </w:r>
          </w:p>
        </w:tc>
        <w:tc>
          <w:tcPr>
            <w:tcW w:w="1187" w:type="dxa"/>
            <w:noWrap/>
          </w:tcPr>
          <w:p w:rsidR="008A3226" w:rsidRPr="009755B2"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9755B2">
              <w:rPr>
                <w:rFonts w:ascii="Arial" w:hAnsi="Arial" w:cs="Arial"/>
                <w:color w:val="auto"/>
                <w:sz w:val="20"/>
                <w:szCs w:val="20"/>
              </w:rPr>
              <w:t>VIDA UTIL</w:t>
            </w:r>
          </w:p>
        </w:tc>
        <w:tc>
          <w:tcPr>
            <w:tcW w:w="1194" w:type="dxa"/>
            <w:noWrap/>
          </w:tcPr>
          <w:p w:rsidR="008A3226" w:rsidRPr="009755B2"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9755B2">
              <w:rPr>
                <w:rFonts w:ascii="Arial" w:hAnsi="Arial" w:cs="Arial"/>
                <w:color w:val="auto"/>
                <w:sz w:val="20"/>
                <w:szCs w:val="20"/>
              </w:rPr>
              <w:t>VALOR RESI-</w:t>
            </w:r>
          </w:p>
          <w:p w:rsidR="008A3226" w:rsidRPr="009755B2" w:rsidRDefault="008A3226" w:rsidP="00FE20CF">
            <w:pPr>
              <w:pStyle w:val="SemEspaamento"/>
              <w:ind w:right="-281"/>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9755B2">
              <w:rPr>
                <w:rFonts w:ascii="Arial" w:hAnsi="Arial" w:cs="Arial"/>
                <w:color w:val="auto"/>
                <w:sz w:val="20"/>
                <w:szCs w:val="20"/>
              </w:rPr>
              <w:t>DUAL</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1.2.3.1.1.01.00</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Máquinas, aparelhos, equipamentos e ferramentas</w:t>
            </w:r>
          </w:p>
        </w:tc>
        <w:tc>
          <w:tcPr>
            <w:tcW w:w="1187" w:type="dxa"/>
            <w:noWrap/>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94" w:type="dxa"/>
            <w:noWrap/>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1.2.3.1.1.01.01</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Aparelhos de medição e orientação</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1.2.3.1.1.01.02</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Aparelhos e equipamentos de comunicação</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1.2.3.1.1.01.03</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9755B2">
              <w:rPr>
                <w:rFonts w:ascii="Arial" w:hAnsi="Arial" w:cs="Arial"/>
                <w:sz w:val="20"/>
                <w:szCs w:val="20"/>
              </w:rPr>
              <w:t>Apar</w:t>
            </w:r>
            <w:proofErr w:type="spellEnd"/>
            <w:r w:rsidRPr="009755B2">
              <w:rPr>
                <w:rFonts w:ascii="Arial" w:hAnsi="Arial" w:cs="Arial"/>
                <w:sz w:val="20"/>
                <w:szCs w:val="20"/>
              </w:rPr>
              <w:t xml:space="preserve">., </w:t>
            </w:r>
            <w:proofErr w:type="spellStart"/>
            <w:r w:rsidRPr="009755B2">
              <w:rPr>
                <w:rFonts w:ascii="Arial" w:hAnsi="Arial" w:cs="Arial"/>
                <w:sz w:val="20"/>
                <w:szCs w:val="20"/>
              </w:rPr>
              <w:t>equip</w:t>
            </w:r>
            <w:proofErr w:type="spellEnd"/>
            <w:r w:rsidRPr="009755B2">
              <w:rPr>
                <w:rFonts w:ascii="Arial" w:hAnsi="Arial" w:cs="Arial"/>
                <w:sz w:val="20"/>
                <w:szCs w:val="20"/>
              </w:rPr>
              <w:t xml:space="preserve">. </w:t>
            </w:r>
            <w:proofErr w:type="spellStart"/>
            <w:r w:rsidRPr="009755B2">
              <w:rPr>
                <w:rFonts w:ascii="Arial" w:hAnsi="Arial" w:cs="Arial"/>
                <w:sz w:val="20"/>
                <w:szCs w:val="20"/>
              </w:rPr>
              <w:t>Utens</w:t>
            </w:r>
            <w:proofErr w:type="spellEnd"/>
            <w:r w:rsidRPr="009755B2">
              <w:rPr>
                <w:rFonts w:ascii="Arial" w:hAnsi="Arial" w:cs="Arial"/>
                <w:sz w:val="20"/>
                <w:szCs w:val="20"/>
              </w:rPr>
              <w:t xml:space="preserve">. Médicos, odontológicos, laboratoriais e hospitalares </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1.2.3.1.1.01.04</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Aparelhos e equipamentos para esportes e diversões</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8</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2</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1.2.3.1.1.01.05</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Equipamento de proteção, segurança e socorro</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1.2.3.1.1.01.06</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Máquinas e equipamentos industriais</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15</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20</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1.2.3.1.1.01.07</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Máquinas e equipamentos energéticos</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20</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1.2.3.1.1.01.08</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Máquinas e equipamentos gráficos</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1.2.3.1.1.01.09</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Máquinas, ferramentas e utensílios de oficina</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20</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1.2.3.1.1.01.10</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Equipamentos de montaria</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1.2.3.1.1.01.12</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Equipamentos, peças e acessórios para automóveis</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8</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1.2.3.1.1.01.16</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Equipamentos de mergulho e salvamento</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1.2.3.1.1.01.18</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Equipamentos de proteção e vigilância ambiental</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1.2.3.1.1.01.19</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 xml:space="preserve">Máquinas, equipamentos e utensílios agropecuários </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20</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1.2.3.1.1.01.20</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xml:space="preserve">Máquinas, equipamentos e utensílios rodoviários </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20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30</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1.2.3.1.1.01.21</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Equipamentos hidráulicos e elétricos</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1.2.3.1.1.01.99</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Outras máquinas, aparelhos, equipamentos e ferramentas</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1.2.3.1.1.02.00</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Bens de informática</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1.2.3.1.1.02.01</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Equipamentos de processamento de dados</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lastRenderedPageBreak/>
              <w:t>1.2.3.1.1.02.02</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Equipamentos de tecnologia da informação</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1.2.3.1.1.02.03</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Sistemas aplicativos - softwares</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1.2.3.1.1.03.00</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Móveis e utensílios</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1.2.3.1.1.03.01</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Aparelhos e utensílios domésticos</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8</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1.2.3.1.1.03.02</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Máquinas e utensílios de escritório</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1.2.3.1.1.03.03</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Mobiliário em geral</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1.2.3.1.1.03.04</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Utensílios em geral</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1.2.3.1.1.04.00</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Materiais culturais, educacionais e de comunicação</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1.2.3.1.1.04.01</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Bandeiras, flâmulas e insígnias</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1.2.3.1.1.04.02</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Coleções e materiais bibliográficos</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1.2.3.1.1.04.03</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Discotecas e filmotecas</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1.2.3.1.1.04.04</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Instrumentos musicais e artísticos</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1.2.3.1.1.04.05</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Equipamentos para áudio, vídeo e foto</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1.2.3.1.1.04.06</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Obras de arte e peças para exposição</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0</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100</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1.2.3.1.1.04.99</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Outros materiais culturais, educacionais e de comunicação</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10</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1.2.3.1.1.05.00</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Veículos</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1.2.3.1.1.05.01</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Veículos em geral</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8</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20</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1.2.3.1.1.08.00</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Bens móveis em almoxarifado</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1.2.3.1.1.08.05</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Bens móveis inservíveis</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0</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1.2.3.2.0.00.00</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Bens imóveis</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1.2.3.2.1.00.00</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Bens imóveis - consolidação</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r>
      <w:tr w:rsidR="008A3226" w:rsidRPr="00C6241A" w:rsidTr="009755B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1.2.3.2.1.01.00</w:t>
            </w:r>
          </w:p>
        </w:tc>
        <w:tc>
          <w:tcPr>
            <w:tcW w:w="5140" w:type="dxa"/>
            <w:hideMark/>
          </w:tcPr>
          <w:p w:rsidR="008A3226" w:rsidRPr="009755B2"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Bens de uso especial</w:t>
            </w:r>
          </w:p>
        </w:tc>
        <w:tc>
          <w:tcPr>
            <w:tcW w:w="1187"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c>
          <w:tcPr>
            <w:tcW w:w="1194" w:type="dxa"/>
            <w:noWrap/>
            <w:hideMark/>
          </w:tcPr>
          <w:p w:rsidR="008A3226" w:rsidRPr="009755B2"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55B2">
              <w:rPr>
                <w:rFonts w:ascii="Arial" w:hAnsi="Arial" w:cs="Arial"/>
                <w:sz w:val="20"/>
                <w:szCs w:val="20"/>
              </w:rPr>
              <w:t> </w:t>
            </w:r>
          </w:p>
        </w:tc>
      </w:tr>
      <w:tr w:rsidR="008A3226" w:rsidRPr="00C6241A" w:rsidTr="009755B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9755B2" w:rsidRDefault="008A3226" w:rsidP="00807064">
            <w:pPr>
              <w:pStyle w:val="SemEspaamento"/>
              <w:jc w:val="both"/>
              <w:rPr>
                <w:rFonts w:ascii="Arial" w:hAnsi="Arial" w:cs="Arial"/>
                <w:sz w:val="20"/>
                <w:szCs w:val="20"/>
              </w:rPr>
            </w:pPr>
            <w:r w:rsidRPr="009755B2">
              <w:rPr>
                <w:rFonts w:ascii="Arial" w:hAnsi="Arial" w:cs="Arial"/>
                <w:sz w:val="20"/>
                <w:szCs w:val="20"/>
              </w:rPr>
              <w:t>1.2.3.2.1.01.03</w:t>
            </w:r>
          </w:p>
        </w:tc>
        <w:tc>
          <w:tcPr>
            <w:tcW w:w="5140" w:type="dxa"/>
            <w:hideMark/>
          </w:tcPr>
          <w:p w:rsidR="008A3226" w:rsidRPr="009755B2"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Edifícios</w:t>
            </w:r>
          </w:p>
        </w:tc>
        <w:tc>
          <w:tcPr>
            <w:tcW w:w="1187"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35</w:t>
            </w:r>
          </w:p>
        </w:tc>
        <w:tc>
          <w:tcPr>
            <w:tcW w:w="1194" w:type="dxa"/>
            <w:noWrap/>
            <w:hideMark/>
          </w:tcPr>
          <w:p w:rsidR="008A3226" w:rsidRPr="009755B2"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55B2">
              <w:rPr>
                <w:rFonts w:ascii="Arial" w:hAnsi="Arial" w:cs="Arial"/>
                <w:sz w:val="20"/>
                <w:szCs w:val="20"/>
              </w:rPr>
              <w:t>50</w:t>
            </w:r>
          </w:p>
        </w:tc>
      </w:tr>
    </w:tbl>
    <w:p w:rsidR="008A3226" w:rsidRPr="00C6241A" w:rsidRDefault="008A3226" w:rsidP="00807064">
      <w:pPr>
        <w:spacing w:after="0" w:line="240" w:lineRule="auto"/>
        <w:jc w:val="both"/>
        <w:rPr>
          <w:rFonts w:ascii="Arial" w:hAnsi="Arial" w:cs="Arial"/>
          <w:b/>
          <w:sz w:val="24"/>
          <w:szCs w:val="24"/>
        </w:rPr>
      </w:pPr>
    </w:p>
    <w:p w:rsidR="008A3226" w:rsidRPr="00C6241A" w:rsidRDefault="00755410" w:rsidP="003A6484">
      <w:pPr>
        <w:pStyle w:val="PargrafodaLista"/>
        <w:autoSpaceDE w:val="0"/>
        <w:autoSpaceDN w:val="0"/>
        <w:adjustRightInd w:val="0"/>
        <w:spacing w:after="0" w:line="240" w:lineRule="auto"/>
        <w:ind w:left="0"/>
        <w:jc w:val="both"/>
        <w:rPr>
          <w:rFonts w:ascii="Arial" w:hAnsi="Arial" w:cs="Arial"/>
          <w:sz w:val="24"/>
          <w:szCs w:val="24"/>
        </w:rPr>
      </w:pPr>
      <w:r w:rsidRPr="00C6241A">
        <w:rPr>
          <w:rFonts w:ascii="Arial" w:hAnsi="Arial" w:cs="Arial"/>
          <w:sz w:val="24"/>
          <w:szCs w:val="24"/>
        </w:rPr>
        <w:t>e</w:t>
      </w:r>
      <w:r w:rsidR="008A3226" w:rsidRPr="00C6241A">
        <w:rPr>
          <w:rFonts w:ascii="Arial" w:hAnsi="Arial" w:cs="Arial"/>
          <w:sz w:val="24"/>
          <w:szCs w:val="24"/>
        </w:rPr>
        <w:t>) Valor econômico do patrimônio</w:t>
      </w:r>
    </w:p>
    <w:p w:rsidR="008A3226" w:rsidRPr="007C5270" w:rsidRDefault="008A3226" w:rsidP="00807064">
      <w:pPr>
        <w:spacing w:line="240" w:lineRule="auto"/>
        <w:jc w:val="both"/>
        <w:rPr>
          <w:rFonts w:ascii="Arial" w:hAnsi="Arial" w:cs="Arial"/>
          <w:sz w:val="24"/>
          <w:szCs w:val="24"/>
        </w:rPr>
      </w:pPr>
      <w:r w:rsidRPr="007C5270">
        <w:rPr>
          <w:rFonts w:ascii="Arial" w:hAnsi="Arial" w:cs="Arial"/>
          <w:sz w:val="24"/>
          <w:szCs w:val="24"/>
        </w:rPr>
        <w:t xml:space="preserve">Apresenta-se o </w:t>
      </w:r>
      <w:r w:rsidR="00CD170A">
        <w:rPr>
          <w:rFonts w:ascii="Arial" w:hAnsi="Arial" w:cs="Arial"/>
          <w:sz w:val="24"/>
          <w:szCs w:val="24"/>
        </w:rPr>
        <w:t>valor econômico do patrimônio d</w:t>
      </w:r>
      <w:r w:rsidR="006D2D13">
        <w:rPr>
          <w:rFonts w:ascii="Arial" w:hAnsi="Arial" w:cs="Arial"/>
          <w:sz w:val="24"/>
          <w:szCs w:val="24"/>
        </w:rPr>
        <w:t>o</w:t>
      </w:r>
      <w:r w:rsidR="009E120F">
        <w:rPr>
          <w:rFonts w:ascii="Arial" w:hAnsi="Arial" w:cs="Arial"/>
          <w:sz w:val="24"/>
          <w:szCs w:val="24"/>
        </w:rPr>
        <w:t xml:space="preserve"> Fundo Municipal de Saúde</w:t>
      </w:r>
      <w:r w:rsidR="00CD170A">
        <w:rPr>
          <w:rFonts w:ascii="Arial" w:hAnsi="Arial" w:cs="Arial"/>
          <w:sz w:val="24"/>
          <w:szCs w:val="24"/>
        </w:rPr>
        <w:t>,</w:t>
      </w:r>
      <w:r w:rsidRPr="007C5270">
        <w:rPr>
          <w:rFonts w:ascii="Arial" w:hAnsi="Arial" w:cs="Arial"/>
          <w:sz w:val="24"/>
          <w:szCs w:val="24"/>
        </w:rPr>
        <w:t xml:space="preserve"> atualizado por classe de bens, em 31 de dezembro de 201</w:t>
      </w:r>
      <w:r w:rsidR="00FD5982">
        <w:rPr>
          <w:rFonts w:ascii="Arial" w:hAnsi="Arial" w:cs="Arial"/>
          <w:sz w:val="24"/>
          <w:szCs w:val="24"/>
        </w:rPr>
        <w:t>9</w:t>
      </w:r>
      <w:r w:rsidRPr="007C5270">
        <w:rPr>
          <w:rFonts w:ascii="Arial" w:hAnsi="Arial" w:cs="Arial"/>
          <w:sz w:val="24"/>
          <w:szCs w:val="24"/>
        </w:rPr>
        <w:t>:</w:t>
      </w:r>
    </w:p>
    <w:tbl>
      <w:tblPr>
        <w:tblW w:w="9189" w:type="dxa"/>
        <w:tblInd w:w="80" w:type="dxa"/>
        <w:tblCellMar>
          <w:left w:w="70" w:type="dxa"/>
          <w:right w:w="70" w:type="dxa"/>
        </w:tblCellMar>
        <w:tblLook w:val="04A0" w:firstRow="1" w:lastRow="0" w:firstColumn="1" w:lastColumn="0" w:noHBand="0" w:noVBand="1"/>
      </w:tblPr>
      <w:tblGrid>
        <w:gridCol w:w="1320"/>
        <w:gridCol w:w="5253"/>
        <w:gridCol w:w="1308"/>
        <w:gridCol w:w="1308"/>
      </w:tblGrid>
      <w:tr w:rsidR="00BF5171" w:rsidRPr="0090424A" w:rsidTr="009755B2">
        <w:trPr>
          <w:trHeight w:val="255"/>
        </w:trPr>
        <w:tc>
          <w:tcPr>
            <w:tcW w:w="1320" w:type="dxa"/>
            <w:tcBorders>
              <w:top w:val="single" w:sz="8" w:space="0" w:color="4BACC6"/>
              <w:left w:val="single" w:sz="8" w:space="0" w:color="4BACC6"/>
              <w:bottom w:val="single" w:sz="8" w:space="0" w:color="4BACC6"/>
              <w:right w:val="nil"/>
            </w:tcBorders>
            <w:shd w:val="clear" w:color="000000" w:fill="4BACC6"/>
            <w:noWrap/>
            <w:hideMark/>
          </w:tcPr>
          <w:p w:rsidR="00BF5171" w:rsidRPr="0090424A" w:rsidRDefault="00BF5171" w:rsidP="009755B2">
            <w:pPr>
              <w:spacing w:after="0" w:line="240" w:lineRule="auto"/>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CONTA</w:t>
            </w:r>
          </w:p>
        </w:tc>
        <w:tc>
          <w:tcPr>
            <w:tcW w:w="5253" w:type="dxa"/>
            <w:tcBorders>
              <w:top w:val="single" w:sz="8" w:space="0" w:color="4BACC6"/>
              <w:left w:val="nil"/>
              <w:bottom w:val="single" w:sz="8" w:space="0" w:color="4BACC6"/>
              <w:right w:val="nil"/>
            </w:tcBorders>
            <w:shd w:val="clear" w:color="000000" w:fill="4BACC6"/>
            <w:noWrap/>
            <w:hideMark/>
          </w:tcPr>
          <w:p w:rsidR="00BF5171" w:rsidRPr="0090424A" w:rsidRDefault="00BF5171" w:rsidP="009755B2">
            <w:pPr>
              <w:spacing w:after="0" w:line="240" w:lineRule="auto"/>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DESCRIÇÃO</w:t>
            </w:r>
          </w:p>
        </w:tc>
        <w:tc>
          <w:tcPr>
            <w:tcW w:w="1308" w:type="dxa"/>
            <w:tcBorders>
              <w:top w:val="single" w:sz="8" w:space="0" w:color="4BACC6"/>
              <w:left w:val="nil"/>
              <w:bottom w:val="single" w:sz="8" w:space="0" w:color="4BACC6"/>
              <w:right w:val="nil"/>
            </w:tcBorders>
            <w:shd w:val="clear" w:color="000000" w:fill="4BACC6"/>
          </w:tcPr>
          <w:p w:rsidR="00BF5171" w:rsidRPr="0090424A" w:rsidRDefault="00BF5171" w:rsidP="009755B2">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SALDO EM 31/12/2019</w:t>
            </w:r>
          </w:p>
        </w:tc>
        <w:tc>
          <w:tcPr>
            <w:tcW w:w="1308" w:type="dxa"/>
            <w:tcBorders>
              <w:top w:val="single" w:sz="8" w:space="0" w:color="4BACC6"/>
              <w:left w:val="nil"/>
              <w:bottom w:val="single" w:sz="8" w:space="0" w:color="4BACC6"/>
              <w:right w:val="single" w:sz="8" w:space="0" w:color="4BACC6"/>
            </w:tcBorders>
            <w:shd w:val="clear" w:color="000000" w:fill="4BACC6"/>
            <w:noWrap/>
            <w:hideMark/>
          </w:tcPr>
          <w:p w:rsidR="00BF5171" w:rsidRPr="0090424A" w:rsidRDefault="00BF5171" w:rsidP="009755B2">
            <w:pPr>
              <w:spacing w:after="0" w:line="240" w:lineRule="auto"/>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SALDO EM 31/12/2018</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123110101</w:t>
            </w:r>
          </w:p>
        </w:tc>
        <w:tc>
          <w:tcPr>
            <w:tcW w:w="5253" w:type="dxa"/>
            <w:tcBorders>
              <w:top w:val="nil"/>
              <w:left w:val="nil"/>
              <w:bottom w:val="single" w:sz="8" w:space="0" w:color="92CDDC"/>
              <w:right w:val="single" w:sz="8" w:space="0" w:color="92CDDC"/>
            </w:tcBorders>
            <w:shd w:val="clear" w:color="auto" w:fill="auto"/>
            <w:noWrap/>
            <w:vAlign w:val="center"/>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Aparelhos de medição e orientação </w:t>
            </w:r>
          </w:p>
        </w:tc>
        <w:tc>
          <w:tcPr>
            <w:tcW w:w="1308" w:type="dxa"/>
            <w:tcBorders>
              <w:top w:val="nil"/>
              <w:left w:val="nil"/>
              <w:bottom w:val="single" w:sz="8" w:space="0" w:color="92CDDC"/>
              <w:right w:val="single" w:sz="4" w:space="0" w:color="4BACC6" w:themeColor="accent5"/>
            </w:tcBorders>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676,80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123110102</w:t>
            </w:r>
          </w:p>
        </w:tc>
        <w:tc>
          <w:tcPr>
            <w:tcW w:w="5253" w:type="dxa"/>
            <w:tcBorders>
              <w:top w:val="nil"/>
              <w:left w:val="nil"/>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Aparelhos e equipamentos de comunicação</w:t>
            </w:r>
          </w:p>
        </w:tc>
        <w:tc>
          <w:tcPr>
            <w:tcW w:w="1308" w:type="dxa"/>
            <w:tcBorders>
              <w:top w:val="nil"/>
              <w:left w:val="nil"/>
              <w:bottom w:val="single" w:sz="8" w:space="0" w:color="92CDDC"/>
              <w:right w:val="single" w:sz="4" w:space="0" w:color="4BACC6" w:themeColor="accent5"/>
            </w:tcBorders>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14.241,47</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8</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938,21</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123110103</w:t>
            </w:r>
          </w:p>
        </w:tc>
        <w:tc>
          <w:tcPr>
            <w:tcW w:w="5253" w:type="dxa"/>
            <w:tcBorders>
              <w:top w:val="nil"/>
              <w:left w:val="nil"/>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Aparelhos, equipamentos e utensílios médicos, odontológicos</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86.875,88</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134</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347,67</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123110104</w:t>
            </w:r>
          </w:p>
        </w:tc>
        <w:tc>
          <w:tcPr>
            <w:tcW w:w="5253" w:type="dxa"/>
            <w:tcBorders>
              <w:top w:val="nil"/>
              <w:left w:val="nil"/>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Aparelhos e equipamentos para esporte e diversão</w:t>
            </w:r>
          </w:p>
        </w:tc>
        <w:tc>
          <w:tcPr>
            <w:tcW w:w="1308" w:type="dxa"/>
            <w:tcBorders>
              <w:top w:val="nil"/>
              <w:left w:val="nil"/>
              <w:bottom w:val="single" w:sz="8" w:space="0" w:color="92CDDC"/>
              <w:right w:val="single" w:sz="4" w:space="0" w:color="4BACC6" w:themeColor="accent5"/>
            </w:tcBorders>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40.852,21</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24</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030,00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123110107</w:t>
            </w:r>
          </w:p>
        </w:tc>
        <w:tc>
          <w:tcPr>
            <w:tcW w:w="5253" w:type="dxa"/>
            <w:tcBorders>
              <w:top w:val="nil"/>
              <w:left w:val="nil"/>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Máquinas e Equipamentos Energéticos</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14.912,50</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9</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568,62</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123110109</w:t>
            </w:r>
          </w:p>
        </w:tc>
        <w:tc>
          <w:tcPr>
            <w:tcW w:w="5253" w:type="dxa"/>
            <w:tcBorders>
              <w:top w:val="nil"/>
              <w:left w:val="nil"/>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Máquinas, ferramentas e utensílios de oficina</w:t>
            </w:r>
          </w:p>
        </w:tc>
        <w:tc>
          <w:tcPr>
            <w:tcW w:w="1308" w:type="dxa"/>
            <w:tcBorders>
              <w:top w:val="nil"/>
              <w:left w:val="nil"/>
              <w:bottom w:val="single" w:sz="8" w:space="0" w:color="92CDDC"/>
              <w:right w:val="single" w:sz="4" w:space="0" w:color="4BACC6" w:themeColor="accent5"/>
            </w:tcBorders>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1</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308,00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123110112</w:t>
            </w:r>
          </w:p>
        </w:tc>
        <w:tc>
          <w:tcPr>
            <w:tcW w:w="5253" w:type="dxa"/>
            <w:tcBorders>
              <w:top w:val="nil"/>
              <w:left w:val="nil"/>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Equipamentos, Peças e acessórios para Automóveis</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252,61</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209,40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123110113</w:t>
            </w:r>
          </w:p>
        </w:tc>
        <w:tc>
          <w:tcPr>
            <w:tcW w:w="5253" w:type="dxa"/>
            <w:tcBorders>
              <w:top w:val="nil"/>
              <w:left w:val="nil"/>
              <w:bottom w:val="single" w:sz="8" w:space="0" w:color="92CDDC"/>
              <w:right w:val="single" w:sz="8" w:space="0" w:color="92CDDC"/>
            </w:tcBorders>
            <w:shd w:val="clear" w:color="auto" w:fill="auto"/>
            <w:noWrap/>
            <w:vAlign w:val="center"/>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Equipamentos, peças e acessórios marítimos</w:t>
            </w:r>
          </w:p>
        </w:tc>
        <w:tc>
          <w:tcPr>
            <w:tcW w:w="1308" w:type="dxa"/>
            <w:tcBorders>
              <w:top w:val="nil"/>
              <w:left w:val="nil"/>
              <w:bottom w:val="single" w:sz="8" w:space="0" w:color="92CDDC"/>
              <w:right w:val="single" w:sz="4" w:space="0" w:color="4BACC6" w:themeColor="accent5"/>
            </w:tcBorders>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650,00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123110119</w:t>
            </w:r>
          </w:p>
        </w:tc>
        <w:tc>
          <w:tcPr>
            <w:tcW w:w="5253" w:type="dxa"/>
            <w:tcBorders>
              <w:top w:val="nil"/>
              <w:left w:val="nil"/>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Máquinas, Equipamentos e Utensílios Agropecuários</w:t>
            </w:r>
          </w:p>
        </w:tc>
        <w:tc>
          <w:tcPr>
            <w:tcW w:w="1308" w:type="dxa"/>
            <w:tcBorders>
              <w:top w:val="nil"/>
              <w:left w:val="nil"/>
              <w:bottom w:val="single" w:sz="8" w:space="0" w:color="92CDDC"/>
              <w:right w:val="single" w:sz="4" w:space="0" w:color="4BACC6" w:themeColor="accent5"/>
            </w:tcBorders>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5</w:t>
            </w:r>
            <w:r>
              <w:rPr>
                <w:rFonts w:ascii="Arial" w:eastAsia="Times New Roman" w:hAnsi="Arial" w:cs="Arial"/>
                <w:color w:val="000000"/>
                <w:sz w:val="20"/>
                <w:szCs w:val="20"/>
                <w:lang w:eastAsia="pt-BR"/>
              </w:rPr>
              <w:t>.</w:t>
            </w:r>
            <w:r w:rsidRPr="0090424A">
              <w:rPr>
                <w:rFonts w:ascii="Arial" w:eastAsia="Times New Roman" w:hAnsi="Arial" w:cs="Arial"/>
                <w:color w:val="000000"/>
                <w:sz w:val="20"/>
                <w:szCs w:val="20"/>
                <w:lang w:eastAsia="pt-BR"/>
              </w:rPr>
              <w:t>400,00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123110199</w:t>
            </w:r>
          </w:p>
        </w:tc>
        <w:tc>
          <w:tcPr>
            <w:tcW w:w="5253" w:type="dxa"/>
            <w:tcBorders>
              <w:top w:val="nil"/>
              <w:left w:val="nil"/>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Outras Máquinas, Aparelhos, Equipamentos e Ferramentas</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1.799,35</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40</w:t>
            </w:r>
            <w:r>
              <w:rPr>
                <w:rFonts w:ascii="Arial" w:eastAsia="Times New Roman" w:hAnsi="Arial" w:cs="Arial"/>
                <w:color w:val="000000"/>
                <w:sz w:val="20"/>
                <w:szCs w:val="20"/>
                <w:lang w:eastAsia="pt-BR"/>
              </w:rPr>
              <w:t>.</w:t>
            </w:r>
            <w:r w:rsidRPr="0090424A">
              <w:rPr>
                <w:rFonts w:ascii="Arial" w:eastAsia="Times New Roman" w:hAnsi="Arial" w:cs="Arial"/>
                <w:color w:val="000000"/>
                <w:sz w:val="20"/>
                <w:szCs w:val="20"/>
                <w:lang w:eastAsia="pt-BR"/>
              </w:rPr>
              <w:t>325,00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123110201</w:t>
            </w:r>
          </w:p>
        </w:tc>
        <w:tc>
          <w:tcPr>
            <w:tcW w:w="5253" w:type="dxa"/>
            <w:tcBorders>
              <w:top w:val="nil"/>
              <w:left w:val="nil"/>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Equipamentos de processamentos de dados</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19.526,32</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51</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645,30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123110202</w:t>
            </w:r>
          </w:p>
        </w:tc>
        <w:tc>
          <w:tcPr>
            <w:tcW w:w="5253" w:type="dxa"/>
            <w:tcBorders>
              <w:top w:val="nil"/>
              <w:left w:val="nil"/>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Equipamentos de tecnologia da informação</w:t>
            </w:r>
          </w:p>
        </w:tc>
        <w:tc>
          <w:tcPr>
            <w:tcW w:w="1308" w:type="dxa"/>
            <w:tcBorders>
              <w:top w:val="nil"/>
              <w:left w:val="nil"/>
              <w:bottom w:val="single" w:sz="8" w:space="0" w:color="92CDDC"/>
              <w:right w:val="single" w:sz="4" w:space="0" w:color="4BACC6" w:themeColor="accent5"/>
            </w:tcBorders>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15.614,93</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34</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240,70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123110301</w:t>
            </w:r>
          </w:p>
        </w:tc>
        <w:tc>
          <w:tcPr>
            <w:tcW w:w="5253" w:type="dxa"/>
            <w:tcBorders>
              <w:top w:val="nil"/>
              <w:left w:val="nil"/>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Aparelhos e utensílios domésticos</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34.611,42</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5</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808,02</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123110302</w:t>
            </w:r>
          </w:p>
        </w:tc>
        <w:tc>
          <w:tcPr>
            <w:tcW w:w="5253" w:type="dxa"/>
            <w:tcBorders>
              <w:top w:val="nil"/>
              <w:left w:val="nil"/>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Máquinas e utensílios de escritório</w:t>
            </w:r>
          </w:p>
        </w:tc>
        <w:tc>
          <w:tcPr>
            <w:tcW w:w="1308" w:type="dxa"/>
            <w:tcBorders>
              <w:top w:val="nil"/>
              <w:left w:val="nil"/>
              <w:bottom w:val="single" w:sz="8" w:space="0" w:color="92CDDC"/>
              <w:right w:val="single" w:sz="4" w:space="0" w:color="4BACC6" w:themeColor="accent5"/>
            </w:tcBorders>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845,00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3</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084,87</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123110303</w:t>
            </w:r>
          </w:p>
        </w:tc>
        <w:tc>
          <w:tcPr>
            <w:tcW w:w="5253" w:type="dxa"/>
            <w:tcBorders>
              <w:top w:val="nil"/>
              <w:left w:val="nil"/>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Mobiliário em geral</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BF517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92.622,26</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87</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127,40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lastRenderedPageBreak/>
              <w:t>123110304</w:t>
            </w:r>
          </w:p>
        </w:tc>
        <w:tc>
          <w:tcPr>
            <w:tcW w:w="5253" w:type="dxa"/>
            <w:tcBorders>
              <w:top w:val="nil"/>
              <w:left w:val="nil"/>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Utensílios em geral</w:t>
            </w:r>
          </w:p>
        </w:tc>
        <w:tc>
          <w:tcPr>
            <w:tcW w:w="1308" w:type="dxa"/>
            <w:tcBorders>
              <w:top w:val="nil"/>
              <w:left w:val="nil"/>
              <w:bottom w:val="single" w:sz="8" w:space="0" w:color="92CDDC"/>
              <w:right w:val="single" w:sz="4" w:space="0" w:color="4BACC6" w:themeColor="accent5"/>
            </w:tcBorders>
          </w:tcPr>
          <w:p w:rsidR="00BF5171" w:rsidRPr="0090424A" w:rsidRDefault="00925C05"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13.054,28</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12</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828,60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123110402</w:t>
            </w:r>
          </w:p>
        </w:tc>
        <w:tc>
          <w:tcPr>
            <w:tcW w:w="5253" w:type="dxa"/>
            <w:tcBorders>
              <w:top w:val="nil"/>
              <w:left w:val="nil"/>
              <w:bottom w:val="single" w:sz="8" w:space="0" w:color="92CDDC"/>
              <w:right w:val="single" w:sz="8" w:space="0" w:color="92CDDC"/>
            </w:tcBorders>
            <w:shd w:val="clear" w:color="auto" w:fill="auto"/>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Coleções e Materiais Bibliográficos</w:t>
            </w:r>
          </w:p>
        </w:tc>
        <w:tc>
          <w:tcPr>
            <w:tcW w:w="1308" w:type="dxa"/>
            <w:tcBorders>
              <w:top w:val="nil"/>
              <w:left w:val="nil"/>
              <w:bottom w:val="single" w:sz="8" w:space="0" w:color="92CDDC"/>
              <w:right w:val="single" w:sz="4" w:space="0" w:color="4BACC6" w:themeColor="accent5"/>
            </w:tcBorders>
          </w:tcPr>
          <w:p w:rsidR="00BF5171" w:rsidRPr="0090424A" w:rsidRDefault="00925C05" w:rsidP="0090424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3</w:t>
            </w:r>
            <w:r>
              <w:rPr>
                <w:rFonts w:ascii="Arial" w:eastAsia="Times New Roman" w:hAnsi="Arial" w:cs="Arial"/>
                <w:color w:val="000000"/>
                <w:sz w:val="20"/>
                <w:szCs w:val="20"/>
                <w:lang w:eastAsia="pt-BR"/>
              </w:rPr>
              <w:t>.</w:t>
            </w:r>
            <w:r w:rsidRPr="0090424A">
              <w:rPr>
                <w:rFonts w:ascii="Arial" w:eastAsia="Times New Roman" w:hAnsi="Arial" w:cs="Arial"/>
                <w:color w:val="000000"/>
                <w:sz w:val="20"/>
                <w:szCs w:val="20"/>
                <w:lang w:eastAsia="pt-BR"/>
              </w:rPr>
              <w:t>600,00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123110405</w:t>
            </w:r>
          </w:p>
        </w:tc>
        <w:tc>
          <w:tcPr>
            <w:tcW w:w="5253" w:type="dxa"/>
            <w:tcBorders>
              <w:top w:val="nil"/>
              <w:left w:val="nil"/>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Equipamentos para áudio, vídeo e foto</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925C05"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13.212,10</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8</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951,45</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123110499</w:t>
            </w:r>
          </w:p>
        </w:tc>
        <w:tc>
          <w:tcPr>
            <w:tcW w:w="5253" w:type="dxa"/>
            <w:tcBorders>
              <w:top w:val="nil"/>
              <w:left w:val="nil"/>
              <w:bottom w:val="single" w:sz="8" w:space="0" w:color="92CDDC"/>
              <w:right w:val="single" w:sz="8" w:space="0" w:color="92CDDC"/>
            </w:tcBorders>
            <w:shd w:val="clear" w:color="000000" w:fill="DAEEF3"/>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Outros Materiais Culturais, Educacionais e de Comunicação</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925C05" w:rsidP="0090424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480,00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123110503</w:t>
            </w:r>
          </w:p>
        </w:tc>
        <w:tc>
          <w:tcPr>
            <w:tcW w:w="5253" w:type="dxa"/>
            <w:tcBorders>
              <w:top w:val="nil"/>
              <w:left w:val="nil"/>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Veículos de tração mecânica</w:t>
            </w:r>
          </w:p>
        </w:tc>
        <w:tc>
          <w:tcPr>
            <w:tcW w:w="1308" w:type="dxa"/>
            <w:tcBorders>
              <w:top w:val="nil"/>
              <w:left w:val="nil"/>
              <w:bottom w:val="single" w:sz="8" w:space="0" w:color="92CDDC"/>
              <w:right w:val="single" w:sz="4" w:space="0" w:color="4BACC6" w:themeColor="accent5"/>
            </w:tcBorders>
          </w:tcPr>
          <w:p w:rsidR="00BF5171" w:rsidRPr="0090424A" w:rsidRDefault="00925C05" w:rsidP="0090424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374.852,80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519</w:t>
            </w:r>
            <w:r>
              <w:rPr>
                <w:rFonts w:ascii="Arial" w:eastAsia="Times New Roman" w:hAnsi="Arial" w:cs="Arial"/>
                <w:color w:val="000000"/>
                <w:sz w:val="20"/>
                <w:szCs w:val="20"/>
                <w:lang w:eastAsia="pt-BR"/>
              </w:rPr>
              <w:t>.</w:t>
            </w:r>
            <w:r w:rsidRPr="0090424A">
              <w:rPr>
                <w:rFonts w:ascii="Arial" w:eastAsia="Times New Roman" w:hAnsi="Arial" w:cs="Arial"/>
                <w:color w:val="000000"/>
                <w:sz w:val="20"/>
                <w:szCs w:val="20"/>
                <w:lang w:eastAsia="pt-BR"/>
              </w:rPr>
              <w:t>093,00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123210103</w:t>
            </w:r>
          </w:p>
        </w:tc>
        <w:tc>
          <w:tcPr>
            <w:tcW w:w="5253" w:type="dxa"/>
            <w:tcBorders>
              <w:top w:val="nil"/>
              <w:left w:val="nil"/>
              <w:bottom w:val="single" w:sz="8" w:space="0" w:color="92CDDC"/>
              <w:right w:val="single" w:sz="8" w:space="0" w:color="92CDDC"/>
            </w:tcBorders>
            <w:shd w:val="clear" w:color="000000" w:fill="DAEEF3"/>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Edifícios</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925C05" w:rsidP="0090424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1.700.072,03</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1</w:t>
            </w:r>
            <w:r>
              <w:rPr>
                <w:rFonts w:ascii="Arial" w:eastAsia="Times New Roman" w:hAnsi="Arial" w:cs="Arial"/>
                <w:color w:val="000000"/>
                <w:sz w:val="20"/>
                <w:szCs w:val="20"/>
                <w:lang w:eastAsia="pt-BR"/>
              </w:rPr>
              <w:t>.</w:t>
            </w:r>
            <w:r w:rsidRPr="0090424A">
              <w:rPr>
                <w:rFonts w:ascii="Arial" w:eastAsia="Times New Roman" w:hAnsi="Arial" w:cs="Arial"/>
                <w:color w:val="000000"/>
                <w:sz w:val="20"/>
                <w:szCs w:val="20"/>
                <w:lang w:eastAsia="pt-BR"/>
              </w:rPr>
              <w:t>060</w:t>
            </w:r>
            <w:r>
              <w:rPr>
                <w:rFonts w:ascii="Arial" w:eastAsia="Times New Roman" w:hAnsi="Arial" w:cs="Arial"/>
                <w:color w:val="000000"/>
                <w:sz w:val="20"/>
                <w:szCs w:val="20"/>
                <w:lang w:eastAsia="pt-BR"/>
              </w:rPr>
              <w:t>.</w:t>
            </w:r>
            <w:r w:rsidRPr="0090424A">
              <w:rPr>
                <w:rFonts w:ascii="Arial" w:eastAsia="Times New Roman" w:hAnsi="Arial" w:cs="Arial"/>
                <w:color w:val="000000"/>
                <w:sz w:val="20"/>
                <w:szCs w:val="20"/>
                <w:lang w:eastAsia="pt-BR"/>
              </w:rPr>
              <w:t>331,65</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123210104</w:t>
            </w:r>
          </w:p>
        </w:tc>
        <w:tc>
          <w:tcPr>
            <w:tcW w:w="5253" w:type="dxa"/>
            <w:tcBorders>
              <w:top w:val="nil"/>
              <w:left w:val="nil"/>
              <w:bottom w:val="single" w:sz="8" w:space="0" w:color="92CDDC"/>
              <w:right w:val="single" w:sz="8" w:space="0" w:color="92CDDC"/>
            </w:tcBorders>
            <w:shd w:val="clear" w:color="auto" w:fill="auto"/>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Terrenos</w:t>
            </w:r>
          </w:p>
        </w:tc>
        <w:tc>
          <w:tcPr>
            <w:tcW w:w="1308" w:type="dxa"/>
            <w:tcBorders>
              <w:top w:val="nil"/>
              <w:left w:val="nil"/>
              <w:bottom w:val="single" w:sz="8" w:space="0" w:color="92CDDC"/>
              <w:right w:val="single" w:sz="4" w:space="0" w:color="4BACC6" w:themeColor="accent5"/>
            </w:tcBorders>
          </w:tcPr>
          <w:p w:rsidR="00BF5171" w:rsidRPr="0090424A" w:rsidRDefault="00925C05" w:rsidP="0090424A">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227.520,00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22</w:t>
            </w:r>
            <w:r>
              <w:rPr>
                <w:rFonts w:ascii="Arial" w:eastAsia="Times New Roman" w:hAnsi="Arial" w:cs="Arial"/>
                <w:color w:val="000000"/>
                <w:sz w:val="20"/>
                <w:szCs w:val="20"/>
                <w:lang w:eastAsia="pt-BR"/>
              </w:rPr>
              <w:t>.</w:t>
            </w:r>
            <w:r w:rsidRPr="0090424A">
              <w:rPr>
                <w:rFonts w:ascii="Arial" w:eastAsia="Times New Roman" w:hAnsi="Arial" w:cs="Arial"/>
                <w:color w:val="000000"/>
                <w:sz w:val="20"/>
                <w:szCs w:val="20"/>
                <w:lang w:eastAsia="pt-BR"/>
              </w:rPr>
              <w:t>7520,00</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123810101</w:t>
            </w:r>
          </w:p>
        </w:tc>
        <w:tc>
          <w:tcPr>
            <w:tcW w:w="5253" w:type="dxa"/>
            <w:tcBorders>
              <w:top w:val="nil"/>
              <w:left w:val="nil"/>
              <w:bottom w:val="single" w:sz="8" w:space="0" w:color="92CDDC"/>
              <w:right w:val="single" w:sz="8" w:space="0" w:color="92CDDC"/>
            </w:tcBorders>
            <w:shd w:val="clear" w:color="000000" w:fill="DAEEF3"/>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xml:space="preserve">(-) Depreciação acumulada maq. Aparelhos e </w:t>
            </w:r>
            <w:proofErr w:type="spellStart"/>
            <w:r w:rsidRPr="0090424A">
              <w:rPr>
                <w:rFonts w:ascii="Arial" w:eastAsia="Times New Roman" w:hAnsi="Arial" w:cs="Arial"/>
                <w:color w:val="000000"/>
                <w:sz w:val="20"/>
                <w:szCs w:val="20"/>
                <w:lang w:eastAsia="pt-BR"/>
              </w:rPr>
              <w:t>equip</w:t>
            </w:r>
            <w:proofErr w:type="spellEnd"/>
            <w:r w:rsidRPr="0090424A">
              <w:rPr>
                <w:rFonts w:ascii="Arial" w:eastAsia="Times New Roman" w:hAnsi="Arial" w:cs="Arial"/>
                <w:color w:val="000000"/>
                <w:sz w:val="20"/>
                <w:szCs w:val="20"/>
                <w:lang w:eastAsia="pt-BR"/>
              </w:rPr>
              <w:t>.</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925C05"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90</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352,84</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123810102</w:t>
            </w:r>
          </w:p>
        </w:tc>
        <w:tc>
          <w:tcPr>
            <w:tcW w:w="5253" w:type="dxa"/>
            <w:tcBorders>
              <w:top w:val="nil"/>
              <w:left w:val="nil"/>
              <w:bottom w:val="single" w:sz="8" w:space="0" w:color="92CDDC"/>
              <w:right w:val="single" w:sz="8" w:space="0" w:color="92CDDC"/>
            </w:tcBorders>
            <w:shd w:val="clear" w:color="auto" w:fill="auto"/>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Depreciação acumulada bens de informática</w:t>
            </w:r>
          </w:p>
        </w:tc>
        <w:tc>
          <w:tcPr>
            <w:tcW w:w="1308" w:type="dxa"/>
            <w:tcBorders>
              <w:top w:val="nil"/>
              <w:left w:val="nil"/>
              <w:bottom w:val="single" w:sz="8" w:space="0" w:color="92CDDC"/>
              <w:right w:val="single" w:sz="4" w:space="0" w:color="4BACC6" w:themeColor="accent5"/>
            </w:tcBorders>
          </w:tcPr>
          <w:p w:rsidR="00BF5171" w:rsidRPr="0090424A" w:rsidRDefault="00925C05"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42</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423,93</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123810103</w:t>
            </w:r>
          </w:p>
        </w:tc>
        <w:tc>
          <w:tcPr>
            <w:tcW w:w="5253" w:type="dxa"/>
            <w:tcBorders>
              <w:top w:val="nil"/>
              <w:left w:val="nil"/>
              <w:bottom w:val="single" w:sz="8" w:space="0" w:color="92CDDC"/>
              <w:right w:val="single" w:sz="8" w:space="0" w:color="92CDDC"/>
            </w:tcBorders>
            <w:shd w:val="clear" w:color="000000" w:fill="DAEEF3"/>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Depreciação acumulada de móveis e utensílios</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925C05"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37</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246,33</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123810104</w:t>
            </w:r>
          </w:p>
        </w:tc>
        <w:tc>
          <w:tcPr>
            <w:tcW w:w="5253" w:type="dxa"/>
            <w:tcBorders>
              <w:top w:val="nil"/>
              <w:left w:val="nil"/>
              <w:bottom w:val="single" w:sz="8" w:space="0" w:color="92CDDC"/>
              <w:right w:val="single" w:sz="8" w:space="0" w:color="92CDDC"/>
            </w:tcBorders>
            <w:shd w:val="clear" w:color="auto" w:fill="auto"/>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Depreciação acumulada de materiais cult. Educ</w:t>
            </w:r>
            <w:r>
              <w:rPr>
                <w:rFonts w:ascii="Arial" w:eastAsia="Times New Roman" w:hAnsi="Arial" w:cs="Arial"/>
                <w:color w:val="000000"/>
                <w:sz w:val="20"/>
                <w:szCs w:val="20"/>
                <w:lang w:eastAsia="pt-BR"/>
              </w:rPr>
              <w:t>ação</w:t>
            </w:r>
          </w:p>
        </w:tc>
        <w:tc>
          <w:tcPr>
            <w:tcW w:w="1308" w:type="dxa"/>
            <w:tcBorders>
              <w:top w:val="nil"/>
              <w:left w:val="nil"/>
              <w:bottom w:val="single" w:sz="8" w:space="0" w:color="92CDDC"/>
              <w:right w:val="single" w:sz="4" w:space="0" w:color="4BACC6" w:themeColor="accent5"/>
            </w:tcBorders>
          </w:tcPr>
          <w:p w:rsidR="00BF5171" w:rsidRPr="0090424A" w:rsidRDefault="00925C05"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5</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796,16</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123810105</w:t>
            </w:r>
          </w:p>
        </w:tc>
        <w:tc>
          <w:tcPr>
            <w:tcW w:w="5253" w:type="dxa"/>
            <w:tcBorders>
              <w:top w:val="nil"/>
              <w:left w:val="nil"/>
              <w:bottom w:val="single" w:sz="8" w:space="0" w:color="92CDDC"/>
              <w:right w:val="single" w:sz="8" w:space="0" w:color="92CDDC"/>
            </w:tcBorders>
            <w:shd w:val="clear" w:color="000000" w:fill="DAEEF3"/>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Depreciação acumulada de veículos.</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925C05"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170</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339,43</w:t>
            </w:r>
          </w:p>
        </w:tc>
      </w:tr>
      <w:tr w:rsidR="00BF5171" w:rsidRPr="0090424A" w:rsidTr="009755B2">
        <w:trPr>
          <w:trHeight w:val="255"/>
        </w:trPr>
        <w:tc>
          <w:tcPr>
            <w:tcW w:w="1320" w:type="dxa"/>
            <w:tcBorders>
              <w:top w:val="nil"/>
              <w:left w:val="single" w:sz="8" w:space="0" w:color="92CDDC"/>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both"/>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123810299</w:t>
            </w:r>
          </w:p>
        </w:tc>
        <w:tc>
          <w:tcPr>
            <w:tcW w:w="5253" w:type="dxa"/>
            <w:tcBorders>
              <w:top w:val="nil"/>
              <w:left w:val="nil"/>
              <w:bottom w:val="single" w:sz="8" w:space="0" w:color="92CDDC"/>
              <w:right w:val="single" w:sz="8" w:space="0" w:color="92CDDC"/>
            </w:tcBorders>
            <w:shd w:val="clear" w:color="auto" w:fill="auto"/>
            <w:vAlign w:val="center"/>
            <w:hideMark/>
          </w:tcPr>
          <w:p w:rsidR="00BF5171" w:rsidRPr="0090424A" w:rsidRDefault="00BF5171"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 Depreciação acumulada de demais bens imóveis</w:t>
            </w:r>
          </w:p>
        </w:tc>
        <w:tc>
          <w:tcPr>
            <w:tcW w:w="1308" w:type="dxa"/>
            <w:tcBorders>
              <w:top w:val="nil"/>
              <w:left w:val="nil"/>
              <w:bottom w:val="single" w:sz="8" w:space="0" w:color="92CDDC"/>
              <w:right w:val="single" w:sz="4" w:space="0" w:color="4BACC6" w:themeColor="accent5"/>
            </w:tcBorders>
          </w:tcPr>
          <w:p w:rsidR="00BF5171" w:rsidRPr="0090424A" w:rsidRDefault="00925C05"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308" w:type="dxa"/>
            <w:tcBorders>
              <w:top w:val="nil"/>
              <w:left w:val="single" w:sz="4" w:space="0" w:color="4BACC6" w:themeColor="accent5"/>
              <w:bottom w:val="single" w:sz="8" w:space="0" w:color="92CDDC"/>
              <w:right w:val="single" w:sz="8" w:space="0" w:color="92CDDC"/>
            </w:tcBorders>
            <w:shd w:val="clear" w:color="auto" w:fill="auto"/>
            <w:noWrap/>
            <w:vAlign w:val="center"/>
            <w:hideMark/>
          </w:tcPr>
          <w:p w:rsidR="00BF5171" w:rsidRPr="0090424A" w:rsidRDefault="00BF5171"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26</w:t>
            </w:r>
            <w:r>
              <w:rPr>
                <w:rFonts w:ascii="Arial" w:eastAsia="Times New Roman" w:hAnsi="Arial" w:cs="Arial"/>
                <w:bCs/>
                <w:color w:val="000000"/>
                <w:sz w:val="20"/>
                <w:szCs w:val="20"/>
                <w:lang w:eastAsia="pt-BR"/>
              </w:rPr>
              <w:t>.</w:t>
            </w:r>
            <w:r w:rsidRPr="0090424A">
              <w:rPr>
                <w:rFonts w:ascii="Arial" w:eastAsia="Times New Roman" w:hAnsi="Arial" w:cs="Arial"/>
                <w:bCs/>
                <w:color w:val="000000"/>
                <w:sz w:val="20"/>
                <w:szCs w:val="20"/>
                <w:lang w:eastAsia="pt-BR"/>
              </w:rPr>
              <w:t>285,24</w:t>
            </w:r>
          </w:p>
        </w:tc>
      </w:tr>
      <w:tr w:rsidR="00BF5171" w:rsidRPr="0090424A" w:rsidTr="009755B2">
        <w:trPr>
          <w:trHeight w:val="255"/>
        </w:trPr>
        <w:tc>
          <w:tcPr>
            <w:tcW w:w="6573" w:type="dxa"/>
            <w:gridSpan w:val="2"/>
            <w:tcBorders>
              <w:top w:val="single" w:sz="8" w:space="0" w:color="92CDDC"/>
              <w:left w:val="single" w:sz="8" w:space="0" w:color="92CDDC"/>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center"/>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Total</w:t>
            </w:r>
          </w:p>
        </w:tc>
        <w:tc>
          <w:tcPr>
            <w:tcW w:w="1308" w:type="dxa"/>
            <w:tcBorders>
              <w:top w:val="nil"/>
              <w:left w:val="nil"/>
              <w:bottom w:val="single" w:sz="8" w:space="0" w:color="92CDDC"/>
              <w:right w:val="single" w:sz="4" w:space="0" w:color="4BACC6" w:themeColor="accent5"/>
            </w:tcBorders>
            <w:shd w:val="clear" w:color="000000" w:fill="DAEEF3"/>
          </w:tcPr>
          <w:p w:rsidR="00BF5171" w:rsidRPr="0090424A" w:rsidRDefault="00925C05" w:rsidP="0090424A">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2.652.191,96</w:t>
            </w:r>
          </w:p>
        </w:tc>
        <w:tc>
          <w:tcPr>
            <w:tcW w:w="1308" w:type="dxa"/>
            <w:tcBorders>
              <w:top w:val="nil"/>
              <w:left w:val="single" w:sz="4" w:space="0" w:color="4BACC6" w:themeColor="accent5"/>
              <w:bottom w:val="single" w:sz="8" w:space="0" w:color="92CDDC"/>
              <w:right w:val="single" w:sz="8" w:space="0" w:color="92CDDC"/>
            </w:tcBorders>
            <w:shd w:val="clear" w:color="000000" w:fill="DAEEF3"/>
            <w:noWrap/>
            <w:vAlign w:val="center"/>
            <w:hideMark/>
          </w:tcPr>
          <w:p w:rsidR="00BF5171" w:rsidRPr="0090424A" w:rsidRDefault="00BF5171" w:rsidP="0090424A">
            <w:pPr>
              <w:spacing w:after="0" w:line="240" w:lineRule="auto"/>
              <w:jc w:val="right"/>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1.866.393,96</w:t>
            </w:r>
          </w:p>
        </w:tc>
      </w:tr>
    </w:tbl>
    <w:p w:rsidR="00A82E74" w:rsidRDefault="00A82E74" w:rsidP="00A82E74">
      <w:pPr>
        <w:autoSpaceDE w:val="0"/>
        <w:autoSpaceDN w:val="0"/>
        <w:adjustRightInd w:val="0"/>
        <w:spacing w:after="0" w:line="240" w:lineRule="auto"/>
        <w:jc w:val="both"/>
        <w:rPr>
          <w:rFonts w:ascii="Arial" w:hAnsi="Arial" w:cs="Arial"/>
          <w:b/>
          <w:bCs/>
          <w:color w:val="215868" w:themeColor="accent5" w:themeShade="80"/>
        </w:rPr>
      </w:pPr>
    </w:p>
    <w:p w:rsidR="00A82E74" w:rsidRDefault="00A82E74" w:rsidP="00A82E74">
      <w:pPr>
        <w:pStyle w:val="PargrafodaLista"/>
        <w:autoSpaceDE w:val="0"/>
        <w:autoSpaceDN w:val="0"/>
        <w:adjustRightInd w:val="0"/>
        <w:spacing w:after="0" w:line="240" w:lineRule="auto"/>
        <w:ind w:left="0"/>
        <w:jc w:val="both"/>
        <w:rPr>
          <w:rFonts w:ascii="Arial" w:hAnsi="Arial" w:cs="Arial"/>
          <w:sz w:val="24"/>
          <w:szCs w:val="24"/>
        </w:rPr>
      </w:pPr>
      <w:r w:rsidRPr="00FB372F">
        <w:rPr>
          <w:rFonts w:ascii="Arial" w:hAnsi="Arial" w:cs="Arial"/>
          <w:sz w:val="24"/>
          <w:szCs w:val="24"/>
        </w:rPr>
        <w:t>Compreende os direitos que tenham por objeto bens corpóreos destinados a manutenção das atividades da entidade ou exercidos com essa finalidade, inclusive os decorrentes de operações que transfiram a ela os benefícios, os riscos e o controle desses bens.</w:t>
      </w:r>
    </w:p>
    <w:p w:rsidR="00A82E74" w:rsidRDefault="00A82E74" w:rsidP="00A82E74">
      <w:pPr>
        <w:pStyle w:val="PargrafodaLista"/>
        <w:autoSpaceDE w:val="0"/>
        <w:autoSpaceDN w:val="0"/>
        <w:adjustRightInd w:val="0"/>
        <w:spacing w:after="0" w:line="240" w:lineRule="auto"/>
        <w:ind w:left="0"/>
        <w:jc w:val="both"/>
        <w:rPr>
          <w:rFonts w:ascii="Arial" w:hAnsi="Arial" w:cs="Arial"/>
          <w:sz w:val="24"/>
          <w:szCs w:val="24"/>
        </w:rPr>
      </w:pPr>
    </w:p>
    <w:p w:rsidR="002177D8" w:rsidRDefault="00015778" w:rsidP="002177D8">
      <w:pPr>
        <w:pStyle w:val="PargrafodaLista"/>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 depreciação inicial, será contabilizada a partir de janeiro de 2020.</w:t>
      </w:r>
      <w:r w:rsidR="002177D8">
        <w:rPr>
          <w:rFonts w:ascii="Arial" w:hAnsi="Arial" w:cs="Arial"/>
          <w:sz w:val="24"/>
          <w:szCs w:val="24"/>
        </w:rPr>
        <w:t xml:space="preserve"> </w:t>
      </w:r>
    </w:p>
    <w:p w:rsidR="002177D8" w:rsidRPr="003D4CE4" w:rsidRDefault="002177D8" w:rsidP="002177D8">
      <w:pPr>
        <w:pStyle w:val="PargrafodaLista"/>
        <w:autoSpaceDE w:val="0"/>
        <w:autoSpaceDN w:val="0"/>
        <w:adjustRightInd w:val="0"/>
        <w:spacing w:after="0" w:line="240" w:lineRule="auto"/>
        <w:ind w:left="0"/>
        <w:jc w:val="both"/>
        <w:rPr>
          <w:rFonts w:ascii="Arial" w:hAnsi="Arial" w:cs="Arial"/>
          <w:sz w:val="24"/>
          <w:szCs w:val="24"/>
        </w:rPr>
      </w:pPr>
    </w:p>
    <w:p w:rsidR="002177D8" w:rsidRPr="003D4CE4" w:rsidRDefault="002177D8" w:rsidP="002177D8">
      <w:pPr>
        <w:autoSpaceDE w:val="0"/>
        <w:autoSpaceDN w:val="0"/>
        <w:adjustRightInd w:val="0"/>
        <w:spacing w:after="0" w:line="240" w:lineRule="auto"/>
        <w:jc w:val="both"/>
        <w:rPr>
          <w:rFonts w:ascii="Arial" w:hAnsi="Arial" w:cs="Arial"/>
          <w:sz w:val="24"/>
          <w:szCs w:val="24"/>
        </w:rPr>
      </w:pPr>
      <w:r w:rsidRPr="003D4CE4">
        <w:rPr>
          <w:rFonts w:ascii="Arial" w:hAnsi="Arial" w:cs="Arial"/>
          <w:sz w:val="24"/>
          <w:szCs w:val="24"/>
        </w:rPr>
        <w:t>O valor do patrimônio imobilizado, já liquido da depreciação, aumentou 4</w:t>
      </w:r>
      <w:r>
        <w:rPr>
          <w:rFonts w:ascii="Arial" w:hAnsi="Arial" w:cs="Arial"/>
          <w:sz w:val="24"/>
          <w:szCs w:val="24"/>
        </w:rPr>
        <w:t>2,10</w:t>
      </w:r>
      <w:r w:rsidRPr="003D4CE4">
        <w:rPr>
          <w:rFonts w:ascii="Arial" w:hAnsi="Arial" w:cs="Arial"/>
          <w:sz w:val="24"/>
          <w:szCs w:val="24"/>
        </w:rPr>
        <w:t>%, de 2018 para 2019, tendo em vista os investimentos na aquisição de ativos não circulantes, e a atualização física e contábil do patrimônio, realizada em 2019.</w:t>
      </w:r>
    </w:p>
    <w:p w:rsidR="00D00401" w:rsidRDefault="00D00401" w:rsidP="00807064">
      <w:pPr>
        <w:autoSpaceDE w:val="0"/>
        <w:autoSpaceDN w:val="0"/>
        <w:adjustRightInd w:val="0"/>
        <w:spacing w:after="0" w:line="240" w:lineRule="auto"/>
        <w:jc w:val="both"/>
        <w:rPr>
          <w:rFonts w:ascii="Segoe Script" w:hAnsi="Segoe Script" w:cs="Arial"/>
          <w:b/>
          <w:color w:val="984806" w:themeColor="accent6" w:themeShade="80"/>
          <w:sz w:val="26"/>
          <w:szCs w:val="26"/>
          <w:lang w:val="es-ES_tradnl"/>
        </w:rPr>
      </w:pPr>
    </w:p>
    <w:p w:rsidR="008A3226" w:rsidRPr="00D15A04"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lang w:val="es-ES_tradnl"/>
        </w:rPr>
      </w:pPr>
      <w:r w:rsidRPr="00D15A04">
        <w:rPr>
          <w:rFonts w:ascii="Segoe Script" w:hAnsi="Segoe Script" w:cs="Arial"/>
          <w:b/>
          <w:color w:val="984806" w:themeColor="accent6" w:themeShade="80"/>
          <w:sz w:val="26"/>
          <w:szCs w:val="26"/>
          <w:lang w:val="es-ES_tradnl"/>
        </w:rPr>
        <w:t>PASSIVOS</w:t>
      </w:r>
    </w:p>
    <w:p w:rsidR="008A3226" w:rsidRDefault="008A3226" w:rsidP="0026351F">
      <w:pPr>
        <w:autoSpaceDE w:val="0"/>
        <w:autoSpaceDN w:val="0"/>
        <w:adjustRightInd w:val="0"/>
        <w:spacing w:after="0" w:line="240" w:lineRule="auto"/>
        <w:jc w:val="both"/>
        <w:rPr>
          <w:rFonts w:ascii="Arial" w:hAnsi="Arial" w:cs="Arial"/>
          <w:sz w:val="24"/>
          <w:szCs w:val="24"/>
        </w:rPr>
      </w:pPr>
    </w:p>
    <w:p w:rsidR="001A008C" w:rsidRPr="007C5270" w:rsidRDefault="001A008C" w:rsidP="0026351F">
      <w:pPr>
        <w:autoSpaceDE w:val="0"/>
        <w:autoSpaceDN w:val="0"/>
        <w:adjustRightInd w:val="0"/>
        <w:spacing w:after="0" w:line="240" w:lineRule="auto"/>
        <w:jc w:val="both"/>
        <w:rPr>
          <w:rFonts w:ascii="Arial" w:hAnsi="Arial" w:cs="Arial"/>
          <w:sz w:val="24"/>
          <w:szCs w:val="24"/>
        </w:rPr>
      </w:pPr>
    </w:p>
    <w:p w:rsidR="008A3226" w:rsidRPr="00755410" w:rsidRDefault="008A3226" w:rsidP="00755410">
      <w:pPr>
        <w:pStyle w:val="PargrafodaLista"/>
        <w:numPr>
          <w:ilvl w:val="0"/>
          <w:numId w:val="21"/>
        </w:numPr>
        <w:autoSpaceDE w:val="0"/>
        <w:autoSpaceDN w:val="0"/>
        <w:adjustRightInd w:val="0"/>
        <w:spacing w:after="0" w:line="240" w:lineRule="auto"/>
        <w:ind w:left="284" w:hanging="284"/>
        <w:jc w:val="both"/>
        <w:rPr>
          <w:rFonts w:ascii="Arial" w:hAnsi="Arial" w:cs="Arial"/>
          <w:color w:val="215868" w:themeColor="accent5" w:themeShade="80"/>
          <w:sz w:val="24"/>
          <w:szCs w:val="24"/>
        </w:rPr>
      </w:pPr>
      <w:r w:rsidRPr="00755410">
        <w:rPr>
          <w:rFonts w:ascii="Arial" w:hAnsi="Arial" w:cs="Arial"/>
          <w:color w:val="215868" w:themeColor="accent5" w:themeShade="80"/>
          <w:sz w:val="24"/>
          <w:szCs w:val="24"/>
        </w:rPr>
        <w:t>Obrigações</w:t>
      </w:r>
    </w:p>
    <w:p w:rsidR="008A3226" w:rsidRPr="007C5270" w:rsidRDefault="008A3226" w:rsidP="00807064">
      <w:pPr>
        <w:autoSpaceDE w:val="0"/>
        <w:autoSpaceDN w:val="0"/>
        <w:adjustRightInd w:val="0"/>
        <w:spacing w:after="0" w:line="240" w:lineRule="auto"/>
        <w:jc w:val="both"/>
        <w:rPr>
          <w:rFonts w:ascii="Arial" w:hAnsi="Arial" w:cs="Arial"/>
          <w:sz w:val="24"/>
          <w:szCs w:val="24"/>
        </w:rPr>
      </w:pPr>
      <w:r w:rsidRPr="007C5270">
        <w:rPr>
          <w:rFonts w:ascii="Arial" w:hAnsi="Arial" w:cs="Arial"/>
          <w:sz w:val="24"/>
          <w:szCs w:val="24"/>
        </w:rPr>
        <w:t>Saldo das obrigações para 201</w:t>
      </w:r>
      <w:r w:rsidR="008A7EBA">
        <w:rPr>
          <w:rFonts w:ascii="Arial" w:hAnsi="Arial" w:cs="Arial"/>
          <w:sz w:val="24"/>
          <w:szCs w:val="24"/>
        </w:rPr>
        <w:t>9</w:t>
      </w:r>
      <w:r w:rsidRPr="007C5270">
        <w:rPr>
          <w:rFonts w:ascii="Arial" w:hAnsi="Arial" w:cs="Arial"/>
          <w:sz w:val="24"/>
          <w:szCs w:val="24"/>
        </w:rPr>
        <w:t>:</w:t>
      </w:r>
    </w:p>
    <w:tbl>
      <w:tblPr>
        <w:tblW w:w="9276" w:type="dxa"/>
        <w:tblInd w:w="70" w:type="dxa"/>
        <w:tblCellMar>
          <w:left w:w="70" w:type="dxa"/>
          <w:right w:w="70" w:type="dxa"/>
        </w:tblCellMar>
        <w:tblLook w:val="04A0" w:firstRow="1" w:lastRow="0" w:firstColumn="1" w:lastColumn="0" w:noHBand="0" w:noVBand="1"/>
      </w:tblPr>
      <w:tblGrid>
        <w:gridCol w:w="1843"/>
        <w:gridCol w:w="337"/>
        <w:gridCol w:w="4403"/>
        <w:gridCol w:w="1417"/>
        <w:gridCol w:w="1276"/>
      </w:tblGrid>
      <w:tr w:rsidR="009755B2" w:rsidRPr="0090424A" w:rsidTr="00C64409">
        <w:trPr>
          <w:trHeight w:val="255"/>
        </w:trPr>
        <w:tc>
          <w:tcPr>
            <w:tcW w:w="2180" w:type="dxa"/>
            <w:gridSpan w:val="2"/>
            <w:tcBorders>
              <w:top w:val="single" w:sz="8" w:space="0" w:color="4BACC6"/>
              <w:left w:val="single" w:sz="8" w:space="0" w:color="4BACC6"/>
              <w:bottom w:val="single" w:sz="8" w:space="0" w:color="4BACC6"/>
              <w:right w:val="single" w:sz="8" w:space="0" w:color="4BACC6"/>
            </w:tcBorders>
            <w:shd w:val="clear" w:color="000000" w:fill="4BACC6"/>
          </w:tcPr>
          <w:p w:rsidR="009755B2" w:rsidRPr="0090424A" w:rsidRDefault="009755B2" w:rsidP="0090424A">
            <w:pPr>
              <w:spacing w:after="0" w:line="240" w:lineRule="auto"/>
              <w:rPr>
                <w:rFonts w:ascii="Arial" w:eastAsia="Times New Roman" w:hAnsi="Arial" w:cs="Arial"/>
                <w:b/>
                <w:bCs/>
                <w:color w:val="000000"/>
                <w:sz w:val="20"/>
                <w:szCs w:val="20"/>
                <w:lang w:eastAsia="pt-BR"/>
              </w:rPr>
            </w:pPr>
          </w:p>
        </w:tc>
        <w:tc>
          <w:tcPr>
            <w:tcW w:w="4403" w:type="dxa"/>
            <w:tcBorders>
              <w:top w:val="single" w:sz="8" w:space="0" w:color="4BACC6"/>
              <w:left w:val="single" w:sz="8" w:space="0" w:color="4BACC6"/>
              <w:bottom w:val="single" w:sz="8" w:space="0" w:color="4BACC6"/>
              <w:right w:val="single" w:sz="8" w:space="0" w:color="4BACC6"/>
            </w:tcBorders>
            <w:shd w:val="clear" w:color="000000" w:fill="4BACC6"/>
            <w:hideMark/>
          </w:tcPr>
          <w:p w:rsidR="009755B2" w:rsidRPr="0090424A" w:rsidRDefault="009755B2" w:rsidP="009755B2">
            <w:pPr>
              <w:spacing w:after="0" w:line="240" w:lineRule="auto"/>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PASSIVO CIRCULANTE</w:t>
            </w:r>
          </w:p>
        </w:tc>
        <w:tc>
          <w:tcPr>
            <w:tcW w:w="1417" w:type="dxa"/>
            <w:tcBorders>
              <w:top w:val="single" w:sz="8" w:space="0" w:color="4BACC6"/>
              <w:left w:val="single" w:sz="8" w:space="0" w:color="4BACC6"/>
              <w:bottom w:val="single" w:sz="8" w:space="0" w:color="4BACC6"/>
              <w:right w:val="single" w:sz="8" w:space="0" w:color="4BACC6"/>
            </w:tcBorders>
            <w:shd w:val="clear" w:color="000000" w:fill="4BACC6"/>
          </w:tcPr>
          <w:p w:rsidR="009755B2" w:rsidRPr="0090424A" w:rsidRDefault="009755B2" w:rsidP="009755B2">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1276" w:type="dxa"/>
            <w:tcBorders>
              <w:top w:val="single" w:sz="8" w:space="0" w:color="4BACC6"/>
              <w:left w:val="single" w:sz="8" w:space="0" w:color="4BACC6"/>
              <w:bottom w:val="single" w:sz="8" w:space="0" w:color="4BACC6"/>
              <w:right w:val="single" w:sz="8" w:space="0" w:color="4BACC6"/>
            </w:tcBorders>
            <w:shd w:val="clear" w:color="000000" w:fill="4BACC6"/>
          </w:tcPr>
          <w:p w:rsidR="009755B2" w:rsidRPr="0090424A" w:rsidRDefault="009755B2" w:rsidP="009755B2">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r>
      <w:tr w:rsidR="00925C05" w:rsidRPr="0090424A" w:rsidTr="00C64409">
        <w:trPr>
          <w:trHeight w:val="255"/>
        </w:trPr>
        <w:tc>
          <w:tcPr>
            <w:tcW w:w="1843" w:type="dxa"/>
            <w:tcBorders>
              <w:top w:val="nil"/>
              <w:left w:val="single" w:sz="8" w:space="0" w:color="92CDDC"/>
              <w:bottom w:val="single" w:sz="8" w:space="0" w:color="92CDDC"/>
              <w:right w:val="single" w:sz="8" w:space="0" w:color="92CDDC"/>
            </w:tcBorders>
            <w:shd w:val="clear" w:color="000000" w:fill="DAEEF3"/>
            <w:vAlign w:val="center"/>
            <w:hideMark/>
          </w:tcPr>
          <w:p w:rsidR="00925C05" w:rsidRPr="0090424A" w:rsidRDefault="00925C05"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2.1.1.1.1.01.03</w:t>
            </w:r>
          </w:p>
        </w:tc>
        <w:tc>
          <w:tcPr>
            <w:tcW w:w="4740" w:type="dxa"/>
            <w:gridSpan w:val="2"/>
            <w:tcBorders>
              <w:top w:val="nil"/>
              <w:left w:val="nil"/>
              <w:bottom w:val="single" w:sz="8" w:space="0" w:color="92CDDC"/>
              <w:right w:val="single" w:sz="8" w:space="0" w:color="92CDDC"/>
            </w:tcBorders>
            <w:shd w:val="clear" w:color="000000" w:fill="DAEEF3"/>
            <w:vAlign w:val="center"/>
            <w:hideMark/>
          </w:tcPr>
          <w:p w:rsidR="00925C05" w:rsidRPr="0090424A" w:rsidRDefault="00925C05"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Férias</w:t>
            </w:r>
          </w:p>
        </w:tc>
        <w:tc>
          <w:tcPr>
            <w:tcW w:w="1417" w:type="dxa"/>
            <w:tcBorders>
              <w:top w:val="nil"/>
              <w:left w:val="nil"/>
              <w:bottom w:val="single" w:sz="8" w:space="0" w:color="92CDDC"/>
              <w:right w:val="single" w:sz="4" w:space="0" w:color="4BACC6" w:themeColor="accent5"/>
            </w:tcBorders>
            <w:shd w:val="clear" w:color="000000" w:fill="DAEEF3"/>
          </w:tcPr>
          <w:p w:rsidR="00925C05" w:rsidRPr="0090424A" w:rsidRDefault="00925C05"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249.805,03</w:t>
            </w:r>
          </w:p>
        </w:tc>
        <w:tc>
          <w:tcPr>
            <w:tcW w:w="1276"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925C05" w:rsidRPr="0090424A" w:rsidRDefault="00925C05"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238.538,91</w:t>
            </w:r>
          </w:p>
        </w:tc>
      </w:tr>
      <w:tr w:rsidR="00925C05" w:rsidRPr="0090424A" w:rsidTr="00C64409">
        <w:trPr>
          <w:trHeight w:val="255"/>
        </w:trPr>
        <w:tc>
          <w:tcPr>
            <w:tcW w:w="1843" w:type="dxa"/>
            <w:tcBorders>
              <w:top w:val="nil"/>
              <w:left w:val="single" w:sz="8" w:space="0" w:color="92CDDC"/>
              <w:bottom w:val="single" w:sz="8" w:space="0" w:color="92CDDC"/>
              <w:right w:val="single" w:sz="8" w:space="0" w:color="92CDDC"/>
            </w:tcBorders>
            <w:shd w:val="clear" w:color="000000" w:fill="DAEEF3"/>
            <w:vAlign w:val="center"/>
          </w:tcPr>
          <w:p w:rsidR="00925C05" w:rsidRPr="0090424A" w:rsidRDefault="00925C05" w:rsidP="0090424A">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2.1.1.4.3.01.01</w:t>
            </w:r>
          </w:p>
        </w:tc>
        <w:tc>
          <w:tcPr>
            <w:tcW w:w="4740" w:type="dxa"/>
            <w:gridSpan w:val="2"/>
            <w:tcBorders>
              <w:top w:val="nil"/>
              <w:left w:val="nil"/>
              <w:bottom w:val="single" w:sz="8" w:space="0" w:color="92CDDC"/>
              <w:right w:val="single" w:sz="8" w:space="0" w:color="92CDDC"/>
            </w:tcBorders>
            <w:shd w:val="clear" w:color="000000" w:fill="DAEEF3"/>
            <w:vAlign w:val="center"/>
          </w:tcPr>
          <w:p w:rsidR="00925C05" w:rsidRPr="0090424A" w:rsidRDefault="00925C05" w:rsidP="0090424A">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INSS – Contribuição sobre salário e remunerações</w:t>
            </w:r>
          </w:p>
        </w:tc>
        <w:tc>
          <w:tcPr>
            <w:tcW w:w="1417" w:type="dxa"/>
            <w:tcBorders>
              <w:top w:val="nil"/>
              <w:left w:val="nil"/>
              <w:bottom w:val="single" w:sz="8" w:space="0" w:color="92CDDC"/>
              <w:right w:val="single" w:sz="4" w:space="0" w:color="4BACC6" w:themeColor="accent5"/>
            </w:tcBorders>
            <w:shd w:val="clear" w:color="000000" w:fill="DAEEF3"/>
          </w:tcPr>
          <w:p w:rsidR="00925C05" w:rsidRDefault="00925C05"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48.560,09</w:t>
            </w:r>
          </w:p>
        </w:tc>
        <w:tc>
          <w:tcPr>
            <w:tcW w:w="1276" w:type="dxa"/>
            <w:tcBorders>
              <w:top w:val="nil"/>
              <w:left w:val="single" w:sz="4" w:space="0" w:color="4BACC6" w:themeColor="accent5"/>
              <w:bottom w:val="single" w:sz="8" w:space="0" w:color="92CDDC"/>
              <w:right w:val="single" w:sz="8" w:space="0" w:color="92CDDC"/>
            </w:tcBorders>
            <w:shd w:val="clear" w:color="000000" w:fill="DAEEF3"/>
          </w:tcPr>
          <w:p w:rsidR="00925C05" w:rsidRPr="0090424A" w:rsidRDefault="00925C05" w:rsidP="009755B2">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925C05" w:rsidRPr="0090424A" w:rsidTr="00C64409">
        <w:trPr>
          <w:trHeight w:val="255"/>
        </w:trPr>
        <w:tc>
          <w:tcPr>
            <w:tcW w:w="1843" w:type="dxa"/>
            <w:tcBorders>
              <w:top w:val="nil"/>
              <w:left w:val="single" w:sz="8" w:space="0" w:color="92CDDC"/>
              <w:bottom w:val="single" w:sz="8" w:space="0" w:color="92CDDC"/>
              <w:right w:val="single" w:sz="8" w:space="0" w:color="92CDDC"/>
            </w:tcBorders>
            <w:shd w:val="clear" w:color="auto" w:fill="auto"/>
            <w:vAlign w:val="center"/>
            <w:hideMark/>
          </w:tcPr>
          <w:p w:rsidR="00925C05" w:rsidRPr="0090424A" w:rsidRDefault="00925C05"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2.1.3.1.1.01.01</w:t>
            </w:r>
          </w:p>
        </w:tc>
        <w:tc>
          <w:tcPr>
            <w:tcW w:w="4740" w:type="dxa"/>
            <w:gridSpan w:val="2"/>
            <w:tcBorders>
              <w:top w:val="nil"/>
              <w:left w:val="nil"/>
              <w:bottom w:val="single" w:sz="8" w:space="0" w:color="92CDDC"/>
              <w:right w:val="single" w:sz="8" w:space="0" w:color="92CDDC"/>
            </w:tcBorders>
            <w:shd w:val="clear" w:color="auto" w:fill="auto"/>
            <w:vAlign w:val="center"/>
            <w:hideMark/>
          </w:tcPr>
          <w:p w:rsidR="00925C05" w:rsidRPr="0090424A" w:rsidRDefault="00925C05"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Fornecedores não financiados a pagar</w:t>
            </w:r>
          </w:p>
        </w:tc>
        <w:tc>
          <w:tcPr>
            <w:tcW w:w="1417" w:type="dxa"/>
            <w:tcBorders>
              <w:top w:val="nil"/>
              <w:left w:val="nil"/>
              <w:bottom w:val="single" w:sz="8" w:space="0" w:color="92CDDC"/>
              <w:right w:val="single" w:sz="4" w:space="0" w:color="4BACC6" w:themeColor="accent5"/>
            </w:tcBorders>
          </w:tcPr>
          <w:p w:rsidR="00925C05" w:rsidRPr="0090424A" w:rsidRDefault="00F472E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1.276,03</w:t>
            </w:r>
          </w:p>
        </w:tc>
        <w:tc>
          <w:tcPr>
            <w:tcW w:w="1276" w:type="dxa"/>
            <w:tcBorders>
              <w:top w:val="nil"/>
              <w:left w:val="single" w:sz="4" w:space="0" w:color="4BACC6" w:themeColor="accent5"/>
              <w:bottom w:val="single" w:sz="8" w:space="0" w:color="92CDDC"/>
              <w:right w:val="single" w:sz="8" w:space="0" w:color="92CDDC"/>
            </w:tcBorders>
            <w:shd w:val="clear" w:color="auto" w:fill="auto"/>
            <w:vAlign w:val="center"/>
            <w:hideMark/>
          </w:tcPr>
          <w:p w:rsidR="00925C05" w:rsidRPr="0090424A" w:rsidRDefault="00925C05"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1.040,13</w:t>
            </w:r>
          </w:p>
        </w:tc>
      </w:tr>
      <w:tr w:rsidR="00925C05" w:rsidRPr="0090424A" w:rsidTr="00C64409">
        <w:trPr>
          <w:trHeight w:val="255"/>
        </w:trPr>
        <w:tc>
          <w:tcPr>
            <w:tcW w:w="1843" w:type="dxa"/>
            <w:tcBorders>
              <w:top w:val="nil"/>
              <w:left w:val="single" w:sz="8" w:space="0" w:color="92CDDC"/>
              <w:bottom w:val="single" w:sz="8" w:space="0" w:color="92CDDC"/>
              <w:right w:val="single" w:sz="8" w:space="0" w:color="92CDDC"/>
            </w:tcBorders>
            <w:shd w:val="clear" w:color="000000" w:fill="DAEEF3"/>
            <w:vAlign w:val="center"/>
            <w:hideMark/>
          </w:tcPr>
          <w:p w:rsidR="00925C05" w:rsidRPr="0090424A" w:rsidRDefault="00925C05" w:rsidP="0090424A">
            <w:pPr>
              <w:spacing w:after="0" w:line="240" w:lineRule="auto"/>
              <w:jc w:val="both"/>
              <w:rPr>
                <w:rFonts w:ascii="Arial" w:eastAsia="Times New Roman" w:hAnsi="Arial" w:cs="Arial"/>
                <w:color w:val="000000"/>
                <w:sz w:val="20"/>
                <w:szCs w:val="20"/>
                <w:lang w:eastAsia="pt-BR"/>
              </w:rPr>
            </w:pPr>
            <w:r w:rsidRPr="0090424A">
              <w:rPr>
                <w:rFonts w:ascii="Arial" w:eastAsia="Times New Roman" w:hAnsi="Arial" w:cs="Arial"/>
                <w:color w:val="000000"/>
                <w:sz w:val="20"/>
                <w:szCs w:val="20"/>
                <w:lang w:eastAsia="pt-BR"/>
              </w:rPr>
              <w:t>2.1.8.8.1.03,01</w:t>
            </w:r>
          </w:p>
        </w:tc>
        <w:tc>
          <w:tcPr>
            <w:tcW w:w="4740" w:type="dxa"/>
            <w:gridSpan w:val="2"/>
            <w:tcBorders>
              <w:top w:val="nil"/>
              <w:left w:val="nil"/>
              <w:bottom w:val="single" w:sz="8" w:space="0" w:color="92CDDC"/>
              <w:right w:val="single" w:sz="8" w:space="0" w:color="92CDDC"/>
            </w:tcBorders>
            <w:shd w:val="clear" w:color="000000" w:fill="DAEEF3"/>
            <w:vAlign w:val="center"/>
            <w:hideMark/>
          </w:tcPr>
          <w:p w:rsidR="00925C05" w:rsidRPr="0090424A" w:rsidRDefault="00925C05" w:rsidP="0090424A">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Valores restituíveis</w:t>
            </w:r>
          </w:p>
        </w:tc>
        <w:tc>
          <w:tcPr>
            <w:tcW w:w="1417" w:type="dxa"/>
            <w:tcBorders>
              <w:top w:val="nil"/>
              <w:left w:val="nil"/>
              <w:bottom w:val="single" w:sz="8" w:space="0" w:color="92CDDC"/>
              <w:right w:val="single" w:sz="4" w:space="0" w:color="4BACC6" w:themeColor="accent5"/>
            </w:tcBorders>
            <w:shd w:val="clear" w:color="000000" w:fill="DAEEF3"/>
          </w:tcPr>
          <w:p w:rsidR="00925C05" w:rsidRPr="0090424A" w:rsidRDefault="00F472E1" w:rsidP="0090424A">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276"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925C05" w:rsidRPr="0090424A" w:rsidRDefault="00925C05" w:rsidP="0090424A">
            <w:pPr>
              <w:spacing w:after="0" w:line="240" w:lineRule="auto"/>
              <w:jc w:val="right"/>
              <w:rPr>
                <w:rFonts w:ascii="Arial" w:eastAsia="Times New Roman" w:hAnsi="Arial" w:cs="Arial"/>
                <w:color w:val="000000"/>
                <w:sz w:val="20"/>
                <w:szCs w:val="20"/>
                <w:lang w:eastAsia="pt-BR"/>
              </w:rPr>
            </w:pPr>
            <w:r w:rsidRPr="0090424A">
              <w:rPr>
                <w:rFonts w:ascii="Arial" w:eastAsia="Times New Roman" w:hAnsi="Arial" w:cs="Arial"/>
                <w:bCs/>
                <w:color w:val="000000"/>
                <w:sz w:val="20"/>
                <w:szCs w:val="20"/>
                <w:lang w:eastAsia="pt-BR"/>
              </w:rPr>
              <w:t>312,03</w:t>
            </w:r>
          </w:p>
        </w:tc>
      </w:tr>
      <w:tr w:rsidR="00925C05" w:rsidRPr="0090424A" w:rsidTr="00C64409">
        <w:trPr>
          <w:trHeight w:val="255"/>
        </w:trPr>
        <w:tc>
          <w:tcPr>
            <w:tcW w:w="6583" w:type="dxa"/>
            <w:gridSpan w:val="3"/>
            <w:tcBorders>
              <w:top w:val="single" w:sz="8" w:space="0" w:color="92CDDC"/>
              <w:left w:val="single" w:sz="8" w:space="0" w:color="92CDDC"/>
              <w:bottom w:val="single" w:sz="8" w:space="0" w:color="92CDDC"/>
              <w:right w:val="single" w:sz="8" w:space="0" w:color="92CDDC"/>
            </w:tcBorders>
            <w:shd w:val="clear" w:color="000000" w:fill="DAEEF3"/>
            <w:vAlign w:val="center"/>
            <w:hideMark/>
          </w:tcPr>
          <w:p w:rsidR="00925C05" w:rsidRPr="0090424A" w:rsidRDefault="00925C05" w:rsidP="0090424A">
            <w:pPr>
              <w:spacing w:after="0" w:line="240" w:lineRule="auto"/>
              <w:jc w:val="center"/>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Total</w:t>
            </w:r>
          </w:p>
        </w:tc>
        <w:tc>
          <w:tcPr>
            <w:tcW w:w="1417" w:type="dxa"/>
            <w:tcBorders>
              <w:top w:val="nil"/>
              <w:left w:val="nil"/>
              <w:bottom w:val="single" w:sz="8" w:space="0" w:color="92CDDC"/>
              <w:right w:val="single" w:sz="4" w:space="0" w:color="4BACC6" w:themeColor="accent5"/>
            </w:tcBorders>
            <w:shd w:val="clear" w:color="000000" w:fill="DAEEF3"/>
          </w:tcPr>
          <w:p w:rsidR="00925C05" w:rsidRPr="0090424A" w:rsidRDefault="00F472E1" w:rsidP="0090424A">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299.641,15</w:t>
            </w:r>
          </w:p>
        </w:tc>
        <w:tc>
          <w:tcPr>
            <w:tcW w:w="1276"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925C05" w:rsidRPr="0090424A" w:rsidRDefault="00925C05" w:rsidP="0090424A">
            <w:pPr>
              <w:spacing w:after="0" w:line="240" w:lineRule="auto"/>
              <w:jc w:val="right"/>
              <w:rPr>
                <w:rFonts w:ascii="Arial" w:eastAsia="Times New Roman" w:hAnsi="Arial" w:cs="Arial"/>
                <w:b/>
                <w:bCs/>
                <w:color w:val="000000"/>
                <w:sz w:val="20"/>
                <w:szCs w:val="20"/>
                <w:lang w:eastAsia="pt-BR"/>
              </w:rPr>
            </w:pPr>
            <w:r w:rsidRPr="0090424A">
              <w:rPr>
                <w:rFonts w:ascii="Arial" w:eastAsia="Times New Roman" w:hAnsi="Arial" w:cs="Arial"/>
                <w:b/>
                <w:bCs/>
                <w:color w:val="000000"/>
                <w:sz w:val="20"/>
                <w:szCs w:val="20"/>
                <w:lang w:eastAsia="pt-BR"/>
              </w:rPr>
              <w:t>239.891,07</w:t>
            </w:r>
          </w:p>
        </w:tc>
      </w:tr>
    </w:tbl>
    <w:p w:rsidR="008A3226" w:rsidRPr="00DD0B55" w:rsidRDefault="008A3226" w:rsidP="00807064">
      <w:pPr>
        <w:autoSpaceDE w:val="0"/>
        <w:autoSpaceDN w:val="0"/>
        <w:adjustRightInd w:val="0"/>
        <w:spacing w:after="0" w:line="240" w:lineRule="auto"/>
        <w:jc w:val="both"/>
        <w:rPr>
          <w:rFonts w:ascii="Arial" w:hAnsi="Arial" w:cs="Arial"/>
        </w:rPr>
      </w:pPr>
    </w:p>
    <w:p w:rsidR="000A2337" w:rsidRPr="00BA6198" w:rsidRDefault="000A2337" w:rsidP="000A2337">
      <w:pPr>
        <w:autoSpaceDE w:val="0"/>
        <w:autoSpaceDN w:val="0"/>
        <w:adjustRightInd w:val="0"/>
        <w:spacing w:after="0" w:line="240" w:lineRule="auto"/>
        <w:jc w:val="both"/>
        <w:rPr>
          <w:rFonts w:ascii="Arial" w:hAnsi="Arial" w:cs="Arial"/>
          <w:sz w:val="24"/>
          <w:szCs w:val="24"/>
        </w:rPr>
      </w:pPr>
      <w:r w:rsidRPr="00BA6198">
        <w:rPr>
          <w:rFonts w:ascii="Arial" w:hAnsi="Arial" w:cs="Arial"/>
          <w:sz w:val="24"/>
          <w:szCs w:val="24"/>
        </w:rPr>
        <w:t>O passivo de férias</w:t>
      </w:r>
      <w:r w:rsidR="00A82E74">
        <w:rPr>
          <w:rFonts w:ascii="Arial" w:hAnsi="Arial" w:cs="Arial"/>
          <w:sz w:val="24"/>
          <w:szCs w:val="24"/>
        </w:rPr>
        <w:t xml:space="preserve"> e INSS</w:t>
      </w:r>
      <w:r w:rsidRPr="00BA6198">
        <w:rPr>
          <w:rFonts w:ascii="Arial" w:hAnsi="Arial" w:cs="Arial"/>
          <w:sz w:val="24"/>
          <w:szCs w:val="24"/>
        </w:rPr>
        <w:t xml:space="preserve"> é reconhecido por competência, não passando pelos estágios orçamentários e financeiros até o momento. </w:t>
      </w:r>
    </w:p>
    <w:p w:rsidR="000A2337" w:rsidRPr="00BA6198" w:rsidRDefault="000A2337" w:rsidP="000A2337">
      <w:pPr>
        <w:autoSpaceDE w:val="0"/>
        <w:autoSpaceDN w:val="0"/>
        <w:adjustRightInd w:val="0"/>
        <w:spacing w:after="0" w:line="240" w:lineRule="auto"/>
        <w:jc w:val="both"/>
        <w:rPr>
          <w:rFonts w:ascii="Arial" w:hAnsi="Arial" w:cs="Arial"/>
          <w:sz w:val="24"/>
          <w:szCs w:val="24"/>
        </w:rPr>
      </w:pPr>
    </w:p>
    <w:p w:rsidR="000A2337" w:rsidRDefault="000A2337" w:rsidP="000A233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crédito com fornecedores refere-se a compromissos financeiros do Município pela cont</w:t>
      </w:r>
      <w:r w:rsidR="00A82E74">
        <w:rPr>
          <w:rFonts w:ascii="Arial" w:hAnsi="Arial" w:cs="Arial"/>
          <w:sz w:val="24"/>
          <w:szCs w:val="24"/>
        </w:rPr>
        <w:t>ratação de serviços ou produtos, liquidados e não pagos.</w:t>
      </w:r>
    </w:p>
    <w:p w:rsidR="000A2337" w:rsidRDefault="000A2337" w:rsidP="000A2337">
      <w:pPr>
        <w:autoSpaceDE w:val="0"/>
        <w:autoSpaceDN w:val="0"/>
        <w:adjustRightInd w:val="0"/>
        <w:spacing w:after="0" w:line="240" w:lineRule="auto"/>
        <w:jc w:val="both"/>
        <w:rPr>
          <w:rFonts w:ascii="Arial" w:hAnsi="Arial" w:cs="Arial"/>
          <w:sz w:val="24"/>
          <w:szCs w:val="24"/>
        </w:rPr>
      </w:pPr>
    </w:p>
    <w:p w:rsidR="000A2337" w:rsidRDefault="000A2337" w:rsidP="000A2337">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O </w:t>
      </w:r>
      <w:r>
        <w:rPr>
          <w:rFonts w:ascii="Arial" w:hAnsi="Arial" w:cs="Arial"/>
          <w:sz w:val="24"/>
          <w:szCs w:val="24"/>
        </w:rPr>
        <w:t>Fundo Municipal de Saúde</w:t>
      </w:r>
      <w:r w:rsidRPr="00116D9A">
        <w:rPr>
          <w:rFonts w:ascii="Arial" w:hAnsi="Arial" w:cs="Arial"/>
          <w:sz w:val="24"/>
          <w:szCs w:val="24"/>
        </w:rPr>
        <w:t xml:space="preserve"> não possui passivo não circulante.</w:t>
      </w:r>
    </w:p>
    <w:p w:rsidR="006E4BFE" w:rsidRDefault="006E4BFE" w:rsidP="006E4BFE">
      <w:pPr>
        <w:autoSpaceDE w:val="0"/>
        <w:autoSpaceDN w:val="0"/>
        <w:adjustRightInd w:val="0"/>
        <w:spacing w:after="0" w:line="240" w:lineRule="auto"/>
        <w:jc w:val="both"/>
        <w:rPr>
          <w:rFonts w:ascii="Arial" w:hAnsi="Arial" w:cs="Arial"/>
          <w:sz w:val="24"/>
          <w:szCs w:val="24"/>
        </w:rPr>
      </w:pPr>
    </w:p>
    <w:p w:rsidR="00A82E74" w:rsidRDefault="00A82E74" w:rsidP="006E4BFE">
      <w:pPr>
        <w:autoSpaceDE w:val="0"/>
        <w:autoSpaceDN w:val="0"/>
        <w:adjustRightInd w:val="0"/>
        <w:spacing w:after="0" w:line="240" w:lineRule="auto"/>
        <w:jc w:val="both"/>
        <w:rPr>
          <w:rFonts w:ascii="Arial" w:hAnsi="Arial" w:cs="Arial"/>
          <w:sz w:val="24"/>
          <w:szCs w:val="24"/>
        </w:rPr>
      </w:pPr>
    </w:p>
    <w:p w:rsidR="00A82E74" w:rsidRDefault="00A82E74" w:rsidP="006E4BFE">
      <w:pPr>
        <w:autoSpaceDE w:val="0"/>
        <w:autoSpaceDN w:val="0"/>
        <w:adjustRightInd w:val="0"/>
        <w:spacing w:after="0" w:line="240" w:lineRule="auto"/>
        <w:jc w:val="both"/>
        <w:rPr>
          <w:rFonts w:ascii="Arial" w:hAnsi="Arial" w:cs="Arial"/>
          <w:sz w:val="24"/>
          <w:szCs w:val="24"/>
        </w:rPr>
      </w:pPr>
    </w:p>
    <w:p w:rsidR="00A82E74" w:rsidRDefault="00A82E74" w:rsidP="006E4BFE">
      <w:pPr>
        <w:autoSpaceDE w:val="0"/>
        <w:autoSpaceDN w:val="0"/>
        <w:adjustRightInd w:val="0"/>
        <w:spacing w:after="0" w:line="240" w:lineRule="auto"/>
        <w:jc w:val="both"/>
        <w:rPr>
          <w:rFonts w:ascii="Arial" w:hAnsi="Arial" w:cs="Arial"/>
          <w:sz w:val="24"/>
          <w:szCs w:val="24"/>
        </w:rPr>
      </w:pPr>
    </w:p>
    <w:p w:rsidR="00A82E74" w:rsidRDefault="00A82E74" w:rsidP="006E4BFE">
      <w:pPr>
        <w:autoSpaceDE w:val="0"/>
        <w:autoSpaceDN w:val="0"/>
        <w:adjustRightInd w:val="0"/>
        <w:spacing w:after="0" w:line="240" w:lineRule="auto"/>
        <w:jc w:val="both"/>
        <w:rPr>
          <w:rFonts w:ascii="Arial" w:hAnsi="Arial" w:cs="Arial"/>
          <w:sz w:val="24"/>
          <w:szCs w:val="24"/>
        </w:rPr>
      </w:pPr>
    </w:p>
    <w:p w:rsidR="00394DDE" w:rsidRDefault="00394DDE" w:rsidP="006E4BFE">
      <w:pPr>
        <w:autoSpaceDE w:val="0"/>
        <w:autoSpaceDN w:val="0"/>
        <w:adjustRightInd w:val="0"/>
        <w:spacing w:after="0" w:line="240" w:lineRule="auto"/>
        <w:jc w:val="both"/>
        <w:rPr>
          <w:rFonts w:ascii="Arial" w:hAnsi="Arial" w:cs="Arial"/>
          <w:sz w:val="24"/>
          <w:szCs w:val="24"/>
        </w:rPr>
      </w:pPr>
    </w:p>
    <w:p w:rsidR="008A3226" w:rsidRPr="00D15A04"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lang w:val="es-ES_tradnl"/>
        </w:rPr>
      </w:pPr>
      <w:r w:rsidRPr="00D15A04">
        <w:rPr>
          <w:rFonts w:ascii="Segoe Script" w:hAnsi="Segoe Script" w:cs="Arial"/>
          <w:b/>
          <w:color w:val="984806" w:themeColor="accent6" w:themeShade="80"/>
          <w:sz w:val="26"/>
          <w:szCs w:val="26"/>
          <w:lang w:val="es-ES_tradnl"/>
        </w:rPr>
        <w:t>VARIAÇÕES PATRIMONIAIS DIMINUTIVAS</w:t>
      </w:r>
    </w:p>
    <w:p w:rsidR="003A6484" w:rsidRDefault="003A6484" w:rsidP="003A6484">
      <w:pPr>
        <w:autoSpaceDE w:val="0"/>
        <w:autoSpaceDN w:val="0"/>
        <w:adjustRightInd w:val="0"/>
        <w:spacing w:after="0" w:line="240" w:lineRule="auto"/>
        <w:jc w:val="both"/>
        <w:rPr>
          <w:rFonts w:ascii="Arial" w:hAnsi="Arial" w:cs="Arial"/>
          <w:b/>
          <w:color w:val="215868" w:themeColor="accent5" w:themeShade="80"/>
          <w:sz w:val="24"/>
          <w:szCs w:val="24"/>
          <w:lang w:val="es-ES_tradnl"/>
        </w:rPr>
      </w:pPr>
    </w:p>
    <w:p w:rsidR="001A008C" w:rsidRPr="001A008C" w:rsidRDefault="001A008C" w:rsidP="003A6484">
      <w:pPr>
        <w:autoSpaceDE w:val="0"/>
        <w:autoSpaceDN w:val="0"/>
        <w:adjustRightInd w:val="0"/>
        <w:spacing w:after="0" w:line="240" w:lineRule="auto"/>
        <w:jc w:val="both"/>
        <w:rPr>
          <w:rFonts w:ascii="Arial" w:hAnsi="Arial" w:cs="Arial"/>
          <w:b/>
          <w:color w:val="215868" w:themeColor="accent5" w:themeShade="80"/>
          <w:sz w:val="24"/>
          <w:szCs w:val="24"/>
          <w:lang w:val="es-ES_tradnl"/>
        </w:rPr>
      </w:pPr>
    </w:p>
    <w:p w:rsidR="001C57CF" w:rsidRPr="003A6484" w:rsidRDefault="0093664A" w:rsidP="003A6484">
      <w:pPr>
        <w:pStyle w:val="PargrafodaLista"/>
        <w:numPr>
          <w:ilvl w:val="0"/>
          <w:numId w:val="18"/>
        </w:numPr>
        <w:autoSpaceDE w:val="0"/>
        <w:autoSpaceDN w:val="0"/>
        <w:adjustRightInd w:val="0"/>
        <w:spacing w:after="0" w:line="240" w:lineRule="auto"/>
        <w:jc w:val="both"/>
        <w:rPr>
          <w:rFonts w:ascii="Arial" w:hAnsi="Arial" w:cs="Arial"/>
          <w:color w:val="215868" w:themeColor="accent5" w:themeShade="80"/>
          <w:sz w:val="24"/>
          <w:szCs w:val="24"/>
        </w:rPr>
      </w:pPr>
      <w:r w:rsidRPr="003A6484">
        <w:rPr>
          <w:rFonts w:ascii="Arial" w:hAnsi="Arial" w:cs="Arial"/>
          <w:color w:val="215868" w:themeColor="accent5" w:themeShade="80"/>
          <w:sz w:val="24"/>
          <w:szCs w:val="24"/>
        </w:rPr>
        <w:t>Variações Patrimoniais Diminutivas</w:t>
      </w:r>
    </w:p>
    <w:tbl>
      <w:tblPr>
        <w:tblW w:w="9276" w:type="dxa"/>
        <w:tblInd w:w="70" w:type="dxa"/>
        <w:tblCellMar>
          <w:left w:w="70" w:type="dxa"/>
          <w:right w:w="70" w:type="dxa"/>
        </w:tblCellMar>
        <w:tblLook w:val="04A0" w:firstRow="1" w:lastRow="0" w:firstColumn="1" w:lastColumn="0" w:noHBand="0" w:noVBand="1"/>
      </w:tblPr>
      <w:tblGrid>
        <w:gridCol w:w="854"/>
        <w:gridCol w:w="3641"/>
        <w:gridCol w:w="1379"/>
        <w:gridCol w:w="850"/>
        <w:gridCol w:w="1560"/>
        <w:gridCol w:w="992"/>
      </w:tblGrid>
      <w:tr w:rsidR="00204662" w:rsidRPr="00DF7785" w:rsidTr="009755B2">
        <w:trPr>
          <w:trHeight w:val="255"/>
        </w:trPr>
        <w:tc>
          <w:tcPr>
            <w:tcW w:w="854" w:type="dxa"/>
            <w:tcBorders>
              <w:top w:val="single" w:sz="8" w:space="0" w:color="4BACC6"/>
              <w:left w:val="single" w:sz="8" w:space="0" w:color="4BACC6"/>
              <w:bottom w:val="single" w:sz="8" w:space="0" w:color="4BACC6"/>
              <w:right w:val="nil"/>
            </w:tcBorders>
            <w:shd w:val="clear" w:color="000000" w:fill="4BACC6"/>
            <w:hideMark/>
          </w:tcPr>
          <w:p w:rsidR="00F472E1" w:rsidRPr="00DF7785" w:rsidRDefault="00F472E1" w:rsidP="009755B2">
            <w:pPr>
              <w:spacing w:after="0" w:line="240" w:lineRule="auto"/>
              <w:rPr>
                <w:rFonts w:ascii="Arial" w:eastAsia="Times New Roman" w:hAnsi="Arial" w:cs="Arial"/>
                <w:b/>
                <w:bCs/>
                <w:color w:val="000000"/>
                <w:sz w:val="20"/>
                <w:szCs w:val="20"/>
                <w:lang w:eastAsia="pt-BR"/>
              </w:rPr>
            </w:pPr>
            <w:r w:rsidRPr="00DF7785">
              <w:rPr>
                <w:rFonts w:ascii="Arial" w:eastAsia="Times New Roman" w:hAnsi="Arial" w:cs="Arial"/>
                <w:b/>
                <w:bCs/>
                <w:color w:val="000000"/>
                <w:sz w:val="20"/>
                <w:szCs w:val="20"/>
                <w:lang w:eastAsia="pt-BR"/>
              </w:rPr>
              <w:t>CONTA</w:t>
            </w:r>
          </w:p>
        </w:tc>
        <w:tc>
          <w:tcPr>
            <w:tcW w:w="3641" w:type="dxa"/>
            <w:tcBorders>
              <w:top w:val="single" w:sz="8" w:space="0" w:color="4BACC6"/>
              <w:left w:val="nil"/>
              <w:bottom w:val="single" w:sz="8" w:space="0" w:color="4BACC6"/>
              <w:right w:val="nil"/>
            </w:tcBorders>
            <w:shd w:val="clear" w:color="000000" w:fill="4BACC6"/>
            <w:hideMark/>
          </w:tcPr>
          <w:p w:rsidR="00F472E1" w:rsidRPr="00DF7785" w:rsidRDefault="00F472E1" w:rsidP="009755B2">
            <w:pPr>
              <w:spacing w:after="0" w:line="240" w:lineRule="auto"/>
              <w:rPr>
                <w:rFonts w:ascii="Arial" w:eastAsia="Times New Roman" w:hAnsi="Arial" w:cs="Arial"/>
                <w:b/>
                <w:bCs/>
                <w:color w:val="000000"/>
                <w:sz w:val="20"/>
                <w:szCs w:val="20"/>
                <w:lang w:eastAsia="pt-BR"/>
              </w:rPr>
            </w:pPr>
            <w:r w:rsidRPr="00DF7785">
              <w:rPr>
                <w:rFonts w:ascii="Arial" w:eastAsia="Times New Roman" w:hAnsi="Arial" w:cs="Arial"/>
                <w:b/>
                <w:bCs/>
                <w:color w:val="000000"/>
                <w:sz w:val="20"/>
                <w:szCs w:val="20"/>
                <w:lang w:eastAsia="pt-BR"/>
              </w:rPr>
              <w:t>DESCRIÇÃO</w:t>
            </w:r>
          </w:p>
        </w:tc>
        <w:tc>
          <w:tcPr>
            <w:tcW w:w="1379" w:type="dxa"/>
            <w:tcBorders>
              <w:top w:val="single" w:sz="8" w:space="0" w:color="4BACC6"/>
              <w:left w:val="nil"/>
              <w:bottom w:val="single" w:sz="8" w:space="0" w:color="4BACC6"/>
              <w:right w:val="nil"/>
            </w:tcBorders>
            <w:shd w:val="clear" w:color="000000" w:fill="4BACC6"/>
          </w:tcPr>
          <w:p w:rsidR="00F472E1" w:rsidRPr="00DF7785" w:rsidRDefault="00F472E1" w:rsidP="009755B2">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850" w:type="dxa"/>
            <w:tcBorders>
              <w:top w:val="single" w:sz="8" w:space="0" w:color="4BACC6"/>
              <w:left w:val="nil"/>
              <w:bottom w:val="single" w:sz="8" w:space="0" w:color="4BACC6"/>
              <w:right w:val="nil"/>
            </w:tcBorders>
            <w:shd w:val="clear" w:color="000000" w:fill="4BACC6"/>
          </w:tcPr>
          <w:p w:rsidR="00F472E1" w:rsidRPr="00DF7785" w:rsidRDefault="00F472E1" w:rsidP="009755B2">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2019 %</w:t>
            </w:r>
          </w:p>
        </w:tc>
        <w:tc>
          <w:tcPr>
            <w:tcW w:w="1560" w:type="dxa"/>
            <w:tcBorders>
              <w:top w:val="single" w:sz="8" w:space="0" w:color="4BACC6"/>
              <w:left w:val="nil"/>
              <w:bottom w:val="single" w:sz="8" w:space="0" w:color="4BACC6"/>
              <w:right w:val="nil"/>
            </w:tcBorders>
            <w:shd w:val="clear" w:color="000000" w:fill="4BACC6"/>
            <w:hideMark/>
          </w:tcPr>
          <w:p w:rsidR="00F472E1" w:rsidRPr="00DF7785" w:rsidRDefault="00F472E1" w:rsidP="009755B2">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992" w:type="dxa"/>
            <w:tcBorders>
              <w:top w:val="single" w:sz="8" w:space="0" w:color="4BACC6"/>
              <w:left w:val="nil"/>
              <w:bottom w:val="single" w:sz="8" w:space="0" w:color="4BACC6"/>
              <w:right w:val="single" w:sz="8" w:space="0" w:color="4BACC6"/>
            </w:tcBorders>
            <w:shd w:val="clear" w:color="000000" w:fill="4BACC6"/>
            <w:hideMark/>
          </w:tcPr>
          <w:p w:rsidR="00F472E1" w:rsidRPr="00DF7785" w:rsidRDefault="00F472E1" w:rsidP="009755B2">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2018 </w:t>
            </w:r>
            <w:r w:rsidRPr="00DF7785">
              <w:rPr>
                <w:rFonts w:ascii="Arial" w:eastAsia="Times New Roman" w:hAnsi="Arial" w:cs="Arial"/>
                <w:b/>
                <w:bCs/>
                <w:color w:val="000000"/>
                <w:sz w:val="20"/>
                <w:szCs w:val="20"/>
                <w:lang w:eastAsia="pt-BR"/>
              </w:rPr>
              <w:t>%</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000000" w:fill="DAEEF3"/>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bCs/>
                <w:color w:val="000000"/>
                <w:sz w:val="20"/>
                <w:szCs w:val="20"/>
                <w:lang w:eastAsia="pt-BR"/>
              </w:rPr>
              <w:t>3.1.1</w:t>
            </w:r>
          </w:p>
        </w:tc>
        <w:tc>
          <w:tcPr>
            <w:tcW w:w="3641" w:type="dxa"/>
            <w:tcBorders>
              <w:top w:val="nil"/>
              <w:left w:val="nil"/>
              <w:bottom w:val="single" w:sz="8" w:space="0" w:color="92CDDC"/>
              <w:right w:val="single" w:sz="8" w:space="0" w:color="92CDDC"/>
            </w:tcBorders>
            <w:shd w:val="clear" w:color="000000" w:fill="DAEEF3"/>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Remuneração a pessoal</w:t>
            </w:r>
          </w:p>
        </w:tc>
        <w:tc>
          <w:tcPr>
            <w:tcW w:w="1379" w:type="dxa"/>
            <w:tcBorders>
              <w:top w:val="nil"/>
              <w:left w:val="nil"/>
              <w:bottom w:val="single" w:sz="8" w:space="0" w:color="92CDDC"/>
              <w:right w:val="single" w:sz="4" w:space="0" w:color="4BACC6" w:themeColor="accent5"/>
            </w:tcBorders>
            <w:shd w:val="clear" w:color="000000" w:fill="DAEEF3"/>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1.316.976,79</w:t>
            </w:r>
          </w:p>
        </w:tc>
        <w:tc>
          <w:tcPr>
            <w:tcW w:w="850" w:type="dxa"/>
            <w:tcBorders>
              <w:top w:val="nil"/>
              <w:left w:val="single" w:sz="4" w:space="0" w:color="4BACC6" w:themeColor="accent5"/>
              <w:bottom w:val="single" w:sz="8" w:space="0" w:color="92CDDC"/>
              <w:right w:val="single" w:sz="4" w:space="0" w:color="4BACC6" w:themeColor="accent5"/>
            </w:tcBorders>
            <w:shd w:val="clear" w:color="000000" w:fill="DAEEF3"/>
          </w:tcPr>
          <w:p w:rsidR="00D200D2"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31,04</w:t>
            </w:r>
          </w:p>
        </w:tc>
        <w:tc>
          <w:tcPr>
            <w:tcW w:w="1560" w:type="dxa"/>
            <w:tcBorders>
              <w:top w:val="nil"/>
              <w:left w:val="single" w:sz="4" w:space="0" w:color="4BACC6" w:themeColor="accent5"/>
              <w:bottom w:val="single" w:sz="8" w:space="0" w:color="92CDDC"/>
              <w:right w:val="single" w:sz="8" w:space="0" w:color="92CDDC"/>
            </w:tcBorders>
            <w:shd w:val="clear" w:color="000000" w:fill="DAEEF3"/>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1.092.392,05</w:t>
            </w:r>
          </w:p>
        </w:tc>
        <w:tc>
          <w:tcPr>
            <w:tcW w:w="992" w:type="dxa"/>
            <w:tcBorders>
              <w:top w:val="nil"/>
              <w:left w:val="nil"/>
              <w:bottom w:val="single" w:sz="8" w:space="0" w:color="92CDDC"/>
              <w:right w:val="single" w:sz="8" w:space="0" w:color="92CDDC"/>
            </w:tcBorders>
            <w:shd w:val="clear" w:color="000000" w:fill="DAEEF3"/>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35,05</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auto" w:fill="auto"/>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bCs/>
                <w:color w:val="000000"/>
                <w:sz w:val="20"/>
                <w:szCs w:val="20"/>
                <w:lang w:eastAsia="pt-BR"/>
              </w:rPr>
              <w:t>3.1.2</w:t>
            </w:r>
          </w:p>
        </w:tc>
        <w:tc>
          <w:tcPr>
            <w:tcW w:w="3641" w:type="dxa"/>
            <w:tcBorders>
              <w:top w:val="nil"/>
              <w:left w:val="nil"/>
              <w:bottom w:val="single" w:sz="8" w:space="0" w:color="92CDDC"/>
              <w:right w:val="single" w:sz="8" w:space="0" w:color="92CDDC"/>
            </w:tcBorders>
            <w:shd w:val="clear" w:color="auto" w:fill="auto"/>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Encargos patronais</w:t>
            </w:r>
          </w:p>
        </w:tc>
        <w:tc>
          <w:tcPr>
            <w:tcW w:w="1379" w:type="dxa"/>
            <w:tcBorders>
              <w:top w:val="nil"/>
              <w:left w:val="nil"/>
              <w:bottom w:val="single" w:sz="8" w:space="0" w:color="92CDDC"/>
              <w:right w:val="single" w:sz="4" w:space="0" w:color="4BACC6" w:themeColor="accent5"/>
            </w:tcBorders>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303.058,22</w:t>
            </w:r>
          </w:p>
        </w:tc>
        <w:tc>
          <w:tcPr>
            <w:tcW w:w="850" w:type="dxa"/>
            <w:tcBorders>
              <w:top w:val="nil"/>
              <w:left w:val="single" w:sz="4" w:space="0" w:color="4BACC6" w:themeColor="accent5"/>
              <w:bottom w:val="single" w:sz="8" w:space="0" w:color="92CDDC"/>
              <w:right w:val="single" w:sz="4" w:space="0" w:color="4BACC6" w:themeColor="accent5"/>
            </w:tcBorders>
          </w:tcPr>
          <w:p w:rsidR="00F472E1"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7,14</w:t>
            </w:r>
          </w:p>
        </w:tc>
        <w:tc>
          <w:tcPr>
            <w:tcW w:w="1560" w:type="dxa"/>
            <w:tcBorders>
              <w:top w:val="nil"/>
              <w:left w:val="single" w:sz="4" w:space="0" w:color="4BACC6" w:themeColor="accent5"/>
              <w:bottom w:val="single" w:sz="8" w:space="0" w:color="92CDDC"/>
              <w:right w:val="single" w:sz="8" w:space="0" w:color="92CDDC"/>
            </w:tcBorders>
            <w:shd w:val="clear" w:color="auto" w:fill="auto"/>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220.342,29</w:t>
            </w:r>
          </w:p>
        </w:tc>
        <w:tc>
          <w:tcPr>
            <w:tcW w:w="992" w:type="dxa"/>
            <w:tcBorders>
              <w:top w:val="nil"/>
              <w:left w:val="nil"/>
              <w:bottom w:val="single" w:sz="8" w:space="0" w:color="92CDDC"/>
              <w:right w:val="single" w:sz="8" w:space="0" w:color="92CDDC"/>
            </w:tcBorders>
            <w:shd w:val="clear" w:color="auto" w:fill="auto"/>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7,07</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000000" w:fill="DAEEF3"/>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bCs/>
                <w:color w:val="000000"/>
                <w:sz w:val="20"/>
                <w:szCs w:val="20"/>
                <w:lang w:eastAsia="pt-BR"/>
              </w:rPr>
              <w:t>3.2.4</w:t>
            </w:r>
          </w:p>
        </w:tc>
        <w:tc>
          <w:tcPr>
            <w:tcW w:w="3641" w:type="dxa"/>
            <w:tcBorders>
              <w:top w:val="nil"/>
              <w:left w:val="nil"/>
              <w:bottom w:val="single" w:sz="8" w:space="0" w:color="92CDDC"/>
              <w:right w:val="single" w:sz="8" w:space="0" w:color="92CDDC"/>
            </w:tcBorders>
            <w:shd w:val="clear" w:color="000000" w:fill="DAEEF3"/>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Benefícios Eventuais</w:t>
            </w:r>
          </w:p>
        </w:tc>
        <w:tc>
          <w:tcPr>
            <w:tcW w:w="1379" w:type="dxa"/>
            <w:tcBorders>
              <w:top w:val="nil"/>
              <w:left w:val="nil"/>
              <w:bottom w:val="single" w:sz="8" w:space="0" w:color="92CDDC"/>
              <w:right w:val="single" w:sz="4" w:space="0" w:color="4BACC6" w:themeColor="accent5"/>
            </w:tcBorders>
            <w:shd w:val="clear" w:color="000000" w:fill="DAEEF3"/>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11.200,00</w:t>
            </w:r>
          </w:p>
        </w:tc>
        <w:tc>
          <w:tcPr>
            <w:tcW w:w="850" w:type="dxa"/>
            <w:tcBorders>
              <w:top w:val="nil"/>
              <w:left w:val="single" w:sz="4" w:space="0" w:color="4BACC6" w:themeColor="accent5"/>
              <w:bottom w:val="single" w:sz="8" w:space="0" w:color="92CDDC"/>
              <w:right w:val="single" w:sz="4" w:space="0" w:color="4BACC6" w:themeColor="accent5"/>
            </w:tcBorders>
            <w:shd w:val="clear" w:color="000000" w:fill="DAEEF3"/>
          </w:tcPr>
          <w:p w:rsidR="00F472E1"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0,26</w:t>
            </w:r>
          </w:p>
        </w:tc>
        <w:tc>
          <w:tcPr>
            <w:tcW w:w="1560" w:type="dxa"/>
            <w:tcBorders>
              <w:top w:val="nil"/>
              <w:left w:val="single" w:sz="4" w:space="0" w:color="4BACC6" w:themeColor="accent5"/>
              <w:bottom w:val="single" w:sz="8" w:space="0" w:color="92CDDC"/>
              <w:right w:val="single" w:sz="8" w:space="0" w:color="92CDDC"/>
            </w:tcBorders>
            <w:shd w:val="clear" w:color="000000" w:fill="DAEEF3"/>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12.100,00</w:t>
            </w:r>
          </w:p>
        </w:tc>
        <w:tc>
          <w:tcPr>
            <w:tcW w:w="992" w:type="dxa"/>
            <w:tcBorders>
              <w:top w:val="nil"/>
              <w:left w:val="nil"/>
              <w:bottom w:val="single" w:sz="8" w:space="0" w:color="92CDDC"/>
              <w:right w:val="single" w:sz="8" w:space="0" w:color="92CDDC"/>
            </w:tcBorders>
            <w:shd w:val="clear" w:color="000000" w:fill="DAEEF3"/>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0,39</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auto" w:fill="auto"/>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bCs/>
                <w:color w:val="000000"/>
                <w:sz w:val="20"/>
                <w:szCs w:val="20"/>
                <w:lang w:eastAsia="pt-BR"/>
              </w:rPr>
              <w:t>3.3.1</w:t>
            </w:r>
          </w:p>
        </w:tc>
        <w:tc>
          <w:tcPr>
            <w:tcW w:w="3641" w:type="dxa"/>
            <w:tcBorders>
              <w:top w:val="nil"/>
              <w:left w:val="nil"/>
              <w:bottom w:val="single" w:sz="8" w:space="0" w:color="92CDDC"/>
              <w:right w:val="single" w:sz="8" w:space="0" w:color="92CDDC"/>
            </w:tcBorders>
            <w:shd w:val="clear" w:color="auto" w:fill="auto"/>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Uso de material de consumo</w:t>
            </w:r>
          </w:p>
        </w:tc>
        <w:tc>
          <w:tcPr>
            <w:tcW w:w="1379" w:type="dxa"/>
            <w:tcBorders>
              <w:top w:val="nil"/>
              <w:left w:val="nil"/>
              <w:bottom w:val="single" w:sz="8" w:space="0" w:color="92CDDC"/>
              <w:right w:val="single" w:sz="4" w:space="0" w:color="4BACC6" w:themeColor="accent5"/>
            </w:tcBorders>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549.356,66</w:t>
            </w:r>
          </w:p>
        </w:tc>
        <w:tc>
          <w:tcPr>
            <w:tcW w:w="850" w:type="dxa"/>
            <w:tcBorders>
              <w:top w:val="nil"/>
              <w:left w:val="single" w:sz="4" w:space="0" w:color="4BACC6" w:themeColor="accent5"/>
              <w:bottom w:val="single" w:sz="8" w:space="0" w:color="92CDDC"/>
              <w:right w:val="single" w:sz="4" w:space="0" w:color="4BACC6" w:themeColor="accent5"/>
            </w:tcBorders>
          </w:tcPr>
          <w:p w:rsidR="00F472E1"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12,95</w:t>
            </w:r>
          </w:p>
        </w:tc>
        <w:tc>
          <w:tcPr>
            <w:tcW w:w="1560" w:type="dxa"/>
            <w:tcBorders>
              <w:top w:val="nil"/>
              <w:left w:val="single" w:sz="4" w:space="0" w:color="4BACC6" w:themeColor="accent5"/>
              <w:bottom w:val="single" w:sz="8" w:space="0" w:color="92CDDC"/>
              <w:right w:val="single" w:sz="8" w:space="0" w:color="92CDDC"/>
            </w:tcBorders>
            <w:shd w:val="clear" w:color="auto" w:fill="auto"/>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520.988,02</w:t>
            </w:r>
          </w:p>
        </w:tc>
        <w:tc>
          <w:tcPr>
            <w:tcW w:w="992" w:type="dxa"/>
            <w:tcBorders>
              <w:top w:val="nil"/>
              <w:left w:val="nil"/>
              <w:bottom w:val="single" w:sz="8" w:space="0" w:color="92CDDC"/>
              <w:right w:val="single" w:sz="8" w:space="0" w:color="92CDDC"/>
            </w:tcBorders>
            <w:shd w:val="clear" w:color="auto" w:fill="auto"/>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16,72</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000000" w:fill="DAEEF3"/>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bCs/>
                <w:color w:val="000000"/>
                <w:sz w:val="20"/>
                <w:szCs w:val="20"/>
                <w:lang w:eastAsia="pt-BR"/>
              </w:rPr>
              <w:t>3.3.2</w:t>
            </w:r>
          </w:p>
        </w:tc>
        <w:tc>
          <w:tcPr>
            <w:tcW w:w="3641" w:type="dxa"/>
            <w:tcBorders>
              <w:top w:val="nil"/>
              <w:left w:val="nil"/>
              <w:bottom w:val="single" w:sz="8" w:space="0" w:color="92CDDC"/>
              <w:right w:val="single" w:sz="8" w:space="0" w:color="92CDDC"/>
            </w:tcBorders>
            <w:shd w:val="clear" w:color="000000" w:fill="DAEEF3"/>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Serviços</w:t>
            </w:r>
          </w:p>
        </w:tc>
        <w:tc>
          <w:tcPr>
            <w:tcW w:w="1379" w:type="dxa"/>
            <w:tcBorders>
              <w:top w:val="nil"/>
              <w:left w:val="nil"/>
              <w:bottom w:val="single" w:sz="8" w:space="0" w:color="92CDDC"/>
              <w:right w:val="single" w:sz="4" w:space="0" w:color="4BACC6" w:themeColor="accent5"/>
            </w:tcBorders>
            <w:shd w:val="clear" w:color="000000" w:fill="DAEEF3"/>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1.021.125,00</w:t>
            </w:r>
          </w:p>
        </w:tc>
        <w:tc>
          <w:tcPr>
            <w:tcW w:w="850" w:type="dxa"/>
            <w:tcBorders>
              <w:top w:val="nil"/>
              <w:left w:val="single" w:sz="4" w:space="0" w:color="4BACC6" w:themeColor="accent5"/>
              <w:bottom w:val="single" w:sz="8" w:space="0" w:color="92CDDC"/>
              <w:right w:val="single" w:sz="4" w:space="0" w:color="4BACC6" w:themeColor="accent5"/>
            </w:tcBorders>
            <w:shd w:val="clear" w:color="000000" w:fill="DAEEF3"/>
          </w:tcPr>
          <w:p w:rsidR="00F472E1"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24,07</w:t>
            </w:r>
          </w:p>
        </w:tc>
        <w:tc>
          <w:tcPr>
            <w:tcW w:w="1560" w:type="dxa"/>
            <w:tcBorders>
              <w:top w:val="nil"/>
              <w:left w:val="single" w:sz="4" w:space="0" w:color="4BACC6" w:themeColor="accent5"/>
              <w:bottom w:val="single" w:sz="8" w:space="0" w:color="92CDDC"/>
              <w:right w:val="single" w:sz="8" w:space="0" w:color="92CDDC"/>
            </w:tcBorders>
            <w:shd w:val="clear" w:color="000000" w:fill="DAEEF3"/>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984.271,77</w:t>
            </w:r>
          </w:p>
        </w:tc>
        <w:tc>
          <w:tcPr>
            <w:tcW w:w="992" w:type="dxa"/>
            <w:tcBorders>
              <w:top w:val="nil"/>
              <w:left w:val="nil"/>
              <w:bottom w:val="single" w:sz="8" w:space="0" w:color="92CDDC"/>
              <w:right w:val="single" w:sz="8" w:space="0" w:color="92CDDC"/>
            </w:tcBorders>
            <w:shd w:val="clear" w:color="000000" w:fill="DAEEF3"/>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31,58</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auto" w:fill="auto"/>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bCs/>
                <w:color w:val="000000"/>
                <w:sz w:val="20"/>
                <w:szCs w:val="20"/>
                <w:lang w:eastAsia="pt-BR"/>
              </w:rPr>
              <w:t>3.3.3</w:t>
            </w:r>
          </w:p>
        </w:tc>
        <w:tc>
          <w:tcPr>
            <w:tcW w:w="3641" w:type="dxa"/>
            <w:tcBorders>
              <w:top w:val="nil"/>
              <w:left w:val="nil"/>
              <w:bottom w:val="single" w:sz="8" w:space="0" w:color="92CDDC"/>
              <w:right w:val="single" w:sz="8" w:space="0" w:color="92CDDC"/>
            </w:tcBorders>
            <w:shd w:val="clear" w:color="auto" w:fill="auto"/>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Depreciação</w:t>
            </w:r>
          </w:p>
        </w:tc>
        <w:tc>
          <w:tcPr>
            <w:tcW w:w="1379" w:type="dxa"/>
            <w:tcBorders>
              <w:top w:val="nil"/>
              <w:left w:val="nil"/>
              <w:bottom w:val="single" w:sz="8" w:space="0" w:color="92CDDC"/>
              <w:right w:val="single" w:sz="4" w:space="0" w:color="4BACC6" w:themeColor="accent5"/>
            </w:tcBorders>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81.9</w:t>
            </w:r>
            <w:r w:rsidR="00204662" w:rsidRPr="009755B2">
              <w:rPr>
                <w:rFonts w:ascii="Arial" w:eastAsia="Times New Roman" w:hAnsi="Arial" w:cs="Arial"/>
                <w:color w:val="000000"/>
                <w:sz w:val="20"/>
                <w:szCs w:val="20"/>
                <w:lang w:eastAsia="pt-BR"/>
              </w:rPr>
              <w:t>2</w:t>
            </w:r>
            <w:r w:rsidRPr="009755B2">
              <w:rPr>
                <w:rFonts w:ascii="Arial" w:eastAsia="Times New Roman" w:hAnsi="Arial" w:cs="Arial"/>
                <w:color w:val="000000"/>
                <w:sz w:val="20"/>
                <w:szCs w:val="20"/>
                <w:lang w:eastAsia="pt-BR"/>
              </w:rPr>
              <w:t>9,92</w:t>
            </w:r>
          </w:p>
        </w:tc>
        <w:tc>
          <w:tcPr>
            <w:tcW w:w="850" w:type="dxa"/>
            <w:tcBorders>
              <w:top w:val="nil"/>
              <w:left w:val="single" w:sz="4" w:space="0" w:color="4BACC6" w:themeColor="accent5"/>
              <w:bottom w:val="single" w:sz="8" w:space="0" w:color="92CDDC"/>
              <w:right w:val="single" w:sz="4" w:space="0" w:color="4BACC6" w:themeColor="accent5"/>
            </w:tcBorders>
          </w:tcPr>
          <w:p w:rsidR="00F472E1"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1,93</w:t>
            </w:r>
          </w:p>
        </w:tc>
        <w:tc>
          <w:tcPr>
            <w:tcW w:w="1560" w:type="dxa"/>
            <w:tcBorders>
              <w:top w:val="nil"/>
              <w:left w:val="single" w:sz="4" w:space="0" w:color="4BACC6" w:themeColor="accent5"/>
              <w:bottom w:val="single" w:sz="8" w:space="0" w:color="92CDDC"/>
              <w:right w:val="single" w:sz="8" w:space="0" w:color="92CDDC"/>
            </w:tcBorders>
            <w:shd w:val="clear" w:color="auto" w:fill="auto"/>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81.690,10</w:t>
            </w:r>
          </w:p>
        </w:tc>
        <w:tc>
          <w:tcPr>
            <w:tcW w:w="992" w:type="dxa"/>
            <w:tcBorders>
              <w:top w:val="nil"/>
              <w:left w:val="nil"/>
              <w:bottom w:val="single" w:sz="8" w:space="0" w:color="92CDDC"/>
              <w:right w:val="single" w:sz="8" w:space="0" w:color="92CDDC"/>
            </w:tcBorders>
            <w:shd w:val="clear" w:color="auto" w:fill="auto"/>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2,62</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auto" w:fill="auto"/>
            <w:vAlign w:val="center"/>
          </w:tcPr>
          <w:p w:rsidR="00204662" w:rsidRPr="009755B2" w:rsidRDefault="00204662" w:rsidP="00DF7785">
            <w:pPr>
              <w:spacing w:after="0" w:line="240" w:lineRule="auto"/>
              <w:jc w:val="both"/>
              <w:rPr>
                <w:rFonts w:ascii="Arial" w:eastAsia="Times New Roman" w:hAnsi="Arial" w:cs="Arial"/>
                <w:bCs/>
                <w:color w:val="000000"/>
                <w:sz w:val="20"/>
                <w:szCs w:val="20"/>
                <w:lang w:eastAsia="pt-BR"/>
              </w:rPr>
            </w:pPr>
            <w:r w:rsidRPr="009755B2">
              <w:rPr>
                <w:rFonts w:ascii="Arial" w:eastAsia="Times New Roman" w:hAnsi="Arial" w:cs="Arial"/>
                <w:bCs/>
                <w:color w:val="000000"/>
                <w:sz w:val="20"/>
                <w:szCs w:val="20"/>
                <w:lang w:eastAsia="pt-BR"/>
              </w:rPr>
              <w:t>3.5.1</w:t>
            </w:r>
          </w:p>
        </w:tc>
        <w:tc>
          <w:tcPr>
            <w:tcW w:w="3641" w:type="dxa"/>
            <w:tcBorders>
              <w:top w:val="nil"/>
              <w:left w:val="nil"/>
              <w:bottom w:val="single" w:sz="8" w:space="0" w:color="92CDDC"/>
              <w:right w:val="single" w:sz="8" w:space="0" w:color="92CDDC"/>
            </w:tcBorders>
            <w:shd w:val="clear" w:color="auto" w:fill="auto"/>
            <w:vAlign w:val="center"/>
          </w:tcPr>
          <w:p w:rsidR="00204662" w:rsidRPr="009755B2" w:rsidRDefault="00204662"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Transferência Intragovernamentais</w:t>
            </w:r>
          </w:p>
        </w:tc>
        <w:tc>
          <w:tcPr>
            <w:tcW w:w="1379" w:type="dxa"/>
            <w:tcBorders>
              <w:top w:val="nil"/>
              <w:left w:val="nil"/>
              <w:bottom w:val="single" w:sz="8" w:space="0" w:color="92CDDC"/>
              <w:right w:val="single" w:sz="4" w:space="0" w:color="4BACC6" w:themeColor="accent5"/>
            </w:tcBorders>
          </w:tcPr>
          <w:p w:rsidR="00204662" w:rsidRPr="009755B2" w:rsidRDefault="0020466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118.206,41</w:t>
            </w:r>
          </w:p>
        </w:tc>
        <w:tc>
          <w:tcPr>
            <w:tcW w:w="850" w:type="dxa"/>
            <w:tcBorders>
              <w:top w:val="nil"/>
              <w:left w:val="single" w:sz="4" w:space="0" w:color="4BACC6" w:themeColor="accent5"/>
              <w:bottom w:val="single" w:sz="8" w:space="0" w:color="92CDDC"/>
              <w:right w:val="single" w:sz="4" w:space="0" w:color="4BACC6" w:themeColor="accent5"/>
            </w:tcBorders>
          </w:tcPr>
          <w:p w:rsidR="00204662"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2,79</w:t>
            </w:r>
          </w:p>
        </w:tc>
        <w:tc>
          <w:tcPr>
            <w:tcW w:w="1560" w:type="dxa"/>
            <w:tcBorders>
              <w:top w:val="nil"/>
              <w:left w:val="single" w:sz="4" w:space="0" w:color="4BACC6" w:themeColor="accent5"/>
              <w:bottom w:val="single" w:sz="8" w:space="0" w:color="92CDDC"/>
              <w:right w:val="single" w:sz="8" w:space="0" w:color="92CDDC"/>
            </w:tcBorders>
            <w:shd w:val="clear" w:color="auto" w:fill="auto"/>
          </w:tcPr>
          <w:p w:rsidR="00204662" w:rsidRPr="009755B2" w:rsidRDefault="0020466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0,00</w:t>
            </w:r>
          </w:p>
        </w:tc>
        <w:tc>
          <w:tcPr>
            <w:tcW w:w="992" w:type="dxa"/>
            <w:tcBorders>
              <w:top w:val="nil"/>
              <w:left w:val="nil"/>
              <w:bottom w:val="single" w:sz="8" w:space="0" w:color="92CDDC"/>
              <w:right w:val="single" w:sz="8" w:space="0" w:color="92CDDC"/>
            </w:tcBorders>
            <w:shd w:val="clear" w:color="auto" w:fill="auto"/>
          </w:tcPr>
          <w:p w:rsidR="00204662" w:rsidRPr="009755B2" w:rsidRDefault="0020466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0,00</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000000" w:fill="DAEEF3"/>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bCs/>
                <w:color w:val="000000"/>
                <w:sz w:val="20"/>
                <w:szCs w:val="20"/>
                <w:lang w:eastAsia="pt-BR"/>
              </w:rPr>
              <w:t>3.5.5</w:t>
            </w:r>
          </w:p>
        </w:tc>
        <w:tc>
          <w:tcPr>
            <w:tcW w:w="3641" w:type="dxa"/>
            <w:tcBorders>
              <w:top w:val="nil"/>
              <w:left w:val="nil"/>
              <w:bottom w:val="single" w:sz="8" w:space="0" w:color="92CDDC"/>
              <w:right w:val="single" w:sz="8" w:space="0" w:color="92CDDC"/>
            </w:tcBorders>
            <w:shd w:val="clear" w:color="000000" w:fill="DAEEF3"/>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Transferências a consórcios públicos</w:t>
            </w:r>
          </w:p>
        </w:tc>
        <w:tc>
          <w:tcPr>
            <w:tcW w:w="1379" w:type="dxa"/>
            <w:tcBorders>
              <w:top w:val="nil"/>
              <w:left w:val="nil"/>
              <w:bottom w:val="single" w:sz="8" w:space="0" w:color="92CDDC"/>
              <w:right w:val="single" w:sz="4" w:space="0" w:color="4BACC6" w:themeColor="accent5"/>
            </w:tcBorders>
            <w:shd w:val="clear" w:color="000000" w:fill="DAEEF3"/>
          </w:tcPr>
          <w:p w:rsidR="00F472E1" w:rsidRPr="009755B2" w:rsidRDefault="0020466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290.447,25</w:t>
            </w:r>
          </w:p>
        </w:tc>
        <w:tc>
          <w:tcPr>
            <w:tcW w:w="850" w:type="dxa"/>
            <w:tcBorders>
              <w:top w:val="nil"/>
              <w:left w:val="single" w:sz="4" w:space="0" w:color="4BACC6" w:themeColor="accent5"/>
              <w:bottom w:val="single" w:sz="8" w:space="0" w:color="92CDDC"/>
              <w:right w:val="single" w:sz="4" w:space="0" w:color="4BACC6" w:themeColor="accent5"/>
            </w:tcBorders>
            <w:shd w:val="clear" w:color="000000" w:fill="DAEEF3"/>
          </w:tcPr>
          <w:p w:rsidR="00F472E1"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6,85</w:t>
            </w:r>
          </w:p>
        </w:tc>
        <w:tc>
          <w:tcPr>
            <w:tcW w:w="1560" w:type="dxa"/>
            <w:tcBorders>
              <w:top w:val="nil"/>
              <w:left w:val="single" w:sz="4" w:space="0" w:color="4BACC6" w:themeColor="accent5"/>
              <w:bottom w:val="single" w:sz="8" w:space="0" w:color="92CDDC"/>
              <w:right w:val="single" w:sz="8" w:space="0" w:color="92CDDC"/>
            </w:tcBorders>
            <w:shd w:val="clear" w:color="000000" w:fill="DAEEF3"/>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203.910,39</w:t>
            </w:r>
          </w:p>
        </w:tc>
        <w:tc>
          <w:tcPr>
            <w:tcW w:w="992" w:type="dxa"/>
            <w:tcBorders>
              <w:top w:val="nil"/>
              <w:left w:val="nil"/>
              <w:bottom w:val="single" w:sz="8" w:space="0" w:color="92CDDC"/>
              <w:right w:val="single" w:sz="8" w:space="0" w:color="92CDDC"/>
            </w:tcBorders>
            <w:shd w:val="clear" w:color="000000" w:fill="DAEEF3"/>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6,54</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000000" w:fill="DAEEF3"/>
            <w:vAlign w:val="center"/>
          </w:tcPr>
          <w:p w:rsidR="00204662" w:rsidRPr="009755B2" w:rsidRDefault="00204662" w:rsidP="00DF7785">
            <w:pPr>
              <w:spacing w:after="0" w:line="240" w:lineRule="auto"/>
              <w:jc w:val="both"/>
              <w:rPr>
                <w:rFonts w:ascii="Arial" w:eastAsia="Times New Roman" w:hAnsi="Arial" w:cs="Arial"/>
                <w:bCs/>
                <w:color w:val="000000"/>
                <w:sz w:val="20"/>
                <w:szCs w:val="20"/>
                <w:lang w:eastAsia="pt-BR"/>
              </w:rPr>
            </w:pPr>
            <w:r w:rsidRPr="009755B2">
              <w:rPr>
                <w:rFonts w:ascii="Arial" w:eastAsia="Times New Roman" w:hAnsi="Arial" w:cs="Arial"/>
                <w:bCs/>
                <w:color w:val="000000"/>
                <w:sz w:val="20"/>
                <w:szCs w:val="20"/>
                <w:lang w:eastAsia="pt-BR"/>
              </w:rPr>
              <w:t>3.6.1</w:t>
            </w:r>
          </w:p>
        </w:tc>
        <w:tc>
          <w:tcPr>
            <w:tcW w:w="3641" w:type="dxa"/>
            <w:tcBorders>
              <w:top w:val="nil"/>
              <w:left w:val="nil"/>
              <w:bottom w:val="single" w:sz="8" w:space="0" w:color="92CDDC"/>
              <w:right w:val="single" w:sz="8" w:space="0" w:color="92CDDC"/>
            </w:tcBorders>
            <w:shd w:val="clear" w:color="000000" w:fill="DAEEF3"/>
            <w:vAlign w:val="center"/>
          </w:tcPr>
          <w:p w:rsidR="00204662" w:rsidRPr="009755B2" w:rsidRDefault="00204662"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Reavaliação, redução a valor recuperável e ajustável para perdas</w:t>
            </w:r>
          </w:p>
        </w:tc>
        <w:tc>
          <w:tcPr>
            <w:tcW w:w="1379" w:type="dxa"/>
            <w:tcBorders>
              <w:top w:val="nil"/>
              <w:left w:val="nil"/>
              <w:bottom w:val="single" w:sz="8" w:space="0" w:color="92CDDC"/>
              <w:right w:val="single" w:sz="4" w:space="0" w:color="4BACC6" w:themeColor="accent5"/>
            </w:tcBorders>
            <w:shd w:val="clear" w:color="000000" w:fill="DAEEF3"/>
          </w:tcPr>
          <w:p w:rsidR="00204662" w:rsidRPr="009755B2" w:rsidRDefault="0020466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525.388,03</w:t>
            </w:r>
          </w:p>
        </w:tc>
        <w:tc>
          <w:tcPr>
            <w:tcW w:w="850" w:type="dxa"/>
            <w:tcBorders>
              <w:top w:val="nil"/>
              <w:left w:val="single" w:sz="4" w:space="0" w:color="4BACC6" w:themeColor="accent5"/>
              <w:bottom w:val="single" w:sz="8" w:space="0" w:color="92CDDC"/>
              <w:right w:val="single" w:sz="4" w:space="0" w:color="4BACC6" w:themeColor="accent5"/>
            </w:tcBorders>
            <w:shd w:val="clear" w:color="000000" w:fill="DAEEF3"/>
          </w:tcPr>
          <w:p w:rsidR="00204662"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12,38</w:t>
            </w:r>
          </w:p>
        </w:tc>
        <w:tc>
          <w:tcPr>
            <w:tcW w:w="1560" w:type="dxa"/>
            <w:tcBorders>
              <w:top w:val="nil"/>
              <w:left w:val="single" w:sz="4" w:space="0" w:color="4BACC6" w:themeColor="accent5"/>
              <w:bottom w:val="single" w:sz="8" w:space="0" w:color="92CDDC"/>
              <w:right w:val="single" w:sz="8" w:space="0" w:color="92CDDC"/>
            </w:tcBorders>
            <w:shd w:val="clear" w:color="000000" w:fill="DAEEF3"/>
          </w:tcPr>
          <w:p w:rsidR="00204662" w:rsidRPr="009755B2" w:rsidRDefault="00F97FCE"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0,00</w:t>
            </w:r>
          </w:p>
        </w:tc>
        <w:tc>
          <w:tcPr>
            <w:tcW w:w="992" w:type="dxa"/>
            <w:tcBorders>
              <w:top w:val="nil"/>
              <w:left w:val="nil"/>
              <w:bottom w:val="single" w:sz="8" w:space="0" w:color="92CDDC"/>
              <w:right w:val="single" w:sz="8" w:space="0" w:color="92CDDC"/>
            </w:tcBorders>
            <w:shd w:val="clear" w:color="000000" w:fill="DAEEF3"/>
          </w:tcPr>
          <w:p w:rsidR="00204662" w:rsidRPr="009755B2" w:rsidRDefault="00F97FCE"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0,00</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auto" w:fill="auto"/>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bCs/>
                <w:color w:val="000000"/>
                <w:sz w:val="20"/>
                <w:szCs w:val="20"/>
                <w:lang w:eastAsia="pt-BR"/>
              </w:rPr>
              <w:t>3.7.1</w:t>
            </w:r>
          </w:p>
        </w:tc>
        <w:tc>
          <w:tcPr>
            <w:tcW w:w="3641" w:type="dxa"/>
            <w:tcBorders>
              <w:top w:val="nil"/>
              <w:left w:val="nil"/>
              <w:bottom w:val="single" w:sz="8" w:space="0" w:color="92CDDC"/>
              <w:right w:val="single" w:sz="8" w:space="0" w:color="92CDDC"/>
            </w:tcBorders>
            <w:shd w:val="clear" w:color="auto" w:fill="auto"/>
            <w:vAlign w:val="center"/>
            <w:hideMark/>
          </w:tcPr>
          <w:p w:rsidR="00F472E1" w:rsidRPr="009755B2" w:rsidRDefault="00F472E1"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Impostos. Taxas e Contribuições de Melhoria</w:t>
            </w:r>
          </w:p>
        </w:tc>
        <w:tc>
          <w:tcPr>
            <w:tcW w:w="1379" w:type="dxa"/>
            <w:tcBorders>
              <w:top w:val="nil"/>
              <w:left w:val="nil"/>
              <w:bottom w:val="single" w:sz="8" w:space="0" w:color="92CDDC"/>
              <w:right w:val="single" w:sz="4" w:space="0" w:color="4BACC6" w:themeColor="accent5"/>
            </w:tcBorders>
          </w:tcPr>
          <w:p w:rsidR="00F472E1" w:rsidRPr="009755B2" w:rsidRDefault="0020466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2.838,41</w:t>
            </w:r>
          </w:p>
        </w:tc>
        <w:tc>
          <w:tcPr>
            <w:tcW w:w="850" w:type="dxa"/>
            <w:tcBorders>
              <w:top w:val="nil"/>
              <w:left w:val="single" w:sz="4" w:space="0" w:color="4BACC6" w:themeColor="accent5"/>
              <w:bottom w:val="single" w:sz="8" w:space="0" w:color="92CDDC"/>
              <w:right w:val="single" w:sz="4" w:space="0" w:color="4BACC6" w:themeColor="accent5"/>
            </w:tcBorders>
          </w:tcPr>
          <w:p w:rsidR="00F472E1"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0,07</w:t>
            </w:r>
          </w:p>
        </w:tc>
        <w:tc>
          <w:tcPr>
            <w:tcW w:w="1560" w:type="dxa"/>
            <w:tcBorders>
              <w:top w:val="nil"/>
              <w:left w:val="single" w:sz="4" w:space="0" w:color="4BACC6" w:themeColor="accent5"/>
              <w:bottom w:val="single" w:sz="8" w:space="0" w:color="92CDDC"/>
              <w:right w:val="single" w:sz="8" w:space="0" w:color="92CDDC"/>
            </w:tcBorders>
            <w:shd w:val="clear" w:color="auto" w:fill="auto"/>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701,77</w:t>
            </w:r>
          </w:p>
        </w:tc>
        <w:tc>
          <w:tcPr>
            <w:tcW w:w="992" w:type="dxa"/>
            <w:tcBorders>
              <w:top w:val="nil"/>
              <w:left w:val="nil"/>
              <w:bottom w:val="single" w:sz="8" w:space="0" w:color="92CDDC"/>
              <w:right w:val="single" w:sz="8" w:space="0" w:color="92CDDC"/>
            </w:tcBorders>
            <w:shd w:val="clear" w:color="auto" w:fill="auto"/>
            <w:hideMark/>
          </w:tcPr>
          <w:p w:rsidR="00F472E1" w:rsidRPr="009755B2" w:rsidRDefault="00F472E1"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0,02</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auto" w:fill="auto"/>
            <w:vAlign w:val="center"/>
          </w:tcPr>
          <w:p w:rsidR="00204662" w:rsidRPr="009755B2" w:rsidRDefault="00204662" w:rsidP="00DF7785">
            <w:pPr>
              <w:spacing w:after="0" w:line="240" w:lineRule="auto"/>
              <w:jc w:val="both"/>
              <w:rPr>
                <w:rFonts w:ascii="Arial" w:eastAsia="Times New Roman" w:hAnsi="Arial" w:cs="Arial"/>
                <w:bCs/>
                <w:color w:val="000000"/>
                <w:sz w:val="20"/>
                <w:szCs w:val="20"/>
                <w:lang w:eastAsia="pt-BR"/>
              </w:rPr>
            </w:pPr>
            <w:r w:rsidRPr="009755B2">
              <w:rPr>
                <w:rFonts w:ascii="Arial" w:eastAsia="Times New Roman" w:hAnsi="Arial" w:cs="Arial"/>
                <w:bCs/>
                <w:color w:val="000000"/>
                <w:sz w:val="20"/>
                <w:szCs w:val="20"/>
                <w:lang w:eastAsia="pt-BR"/>
              </w:rPr>
              <w:t>3.7.2</w:t>
            </w:r>
          </w:p>
        </w:tc>
        <w:tc>
          <w:tcPr>
            <w:tcW w:w="3641" w:type="dxa"/>
            <w:tcBorders>
              <w:top w:val="nil"/>
              <w:left w:val="nil"/>
              <w:bottom w:val="single" w:sz="8" w:space="0" w:color="92CDDC"/>
              <w:right w:val="single" w:sz="8" w:space="0" w:color="92CDDC"/>
            </w:tcBorders>
            <w:shd w:val="clear" w:color="auto" w:fill="auto"/>
            <w:vAlign w:val="center"/>
          </w:tcPr>
          <w:p w:rsidR="00204662" w:rsidRPr="009755B2" w:rsidRDefault="00204662"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Contribuições</w:t>
            </w:r>
          </w:p>
        </w:tc>
        <w:tc>
          <w:tcPr>
            <w:tcW w:w="1379" w:type="dxa"/>
            <w:tcBorders>
              <w:top w:val="nil"/>
              <w:left w:val="nil"/>
              <w:bottom w:val="single" w:sz="8" w:space="0" w:color="92CDDC"/>
              <w:right w:val="single" w:sz="4" w:space="0" w:color="4BACC6" w:themeColor="accent5"/>
            </w:tcBorders>
          </w:tcPr>
          <w:p w:rsidR="00204662" w:rsidRPr="009755B2" w:rsidRDefault="0020466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15,46</w:t>
            </w:r>
          </w:p>
        </w:tc>
        <w:tc>
          <w:tcPr>
            <w:tcW w:w="850" w:type="dxa"/>
            <w:tcBorders>
              <w:top w:val="nil"/>
              <w:left w:val="single" w:sz="4" w:space="0" w:color="4BACC6" w:themeColor="accent5"/>
              <w:bottom w:val="single" w:sz="8" w:space="0" w:color="92CDDC"/>
              <w:right w:val="single" w:sz="4" w:space="0" w:color="4BACC6" w:themeColor="accent5"/>
            </w:tcBorders>
          </w:tcPr>
          <w:p w:rsidR="00204662"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0,00</w:t>
            </w:r>
          </w:p>
        </w:tc>
        <w:tc>
          <w:tcPr>
            <w:tcW w:w="1560" w:type="dxa"/>
            <w:tcBorders>
              <w:top w:val="nil"/>
              <w:left w:val="single" w:sz="4" w:space="0" w:color="4BACC6" w:themeColor="accent5"/>
              <w:bottom w:val="single" w:sz="8" w:space="0" w:color="92CDDC"/>
              <w:right w:val="single" w:sz="8" w:space="0" w:color="92CDDC"/>
            </w:tcBorders>
            <w:shd w:val="clear" w:color="auto" w:fill="auto"/>
          </w:tcPr>
          <w:p w:rsidR="00204662" w:rsidRPr="009755B2" w:rsidRDefault="00F97FCE"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0,00</w:t>
            </w:r>
          </w:p>
        </w:tc>
        <w:tc>
          <w:tcPr>
            <w:tcW w:w="992" w:type="dxa"/>
            <w:tcBorders>
              <w:top w:val="nil"/>
              <w:left w:val="nil"/>
              <w:bottom w:val="single" w:sz="8" w:space="0" w:color="92CDDC"/>
              <w:right w:val="single" w:sz="8" w:space="0" w:color="92CDDC"/>
            </w:tcBorders>
            <w:shd w:val="clear" w:color="auto" w:fill="auto"/>
          </w:tcPr>
          <w:p w:rsidR="00204662" w:rsidRPr="009755B2" w:rsidRDefault="00F97FCE"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0,00</w:t>
            </w:r>
          </w:p>
        </w:tc>
      </w:tr>
      <w:tr w:rsidR="00204662" w:rsidRPr="00DF7785" w:rsidTr="009755B2">
        <w:trPr>
          <w:trHeight w:val="255"/>
        </w:trPr>
        <w:tc>
          <w:tcPr>
            <w:tcW w:w="854" w:type="dxa"/>
            <w:tcBorders>
              <w:top w:val="nil"/>
              <w:left w:val="single" w:sz="8" w:space="0" w:color="92CDDC"/>
              <w:bottom w:val="single" w:sz="8" w:space="0" w:color="92CDDC"/>
              <w:right w:val="single" w:sz="8" w:space="0" w:color="92CDDC"/>
            </w:tcBorders>
            <w:shd w:val="clear" w:color="auto" w:fill="auto"/>
            <w:vAlign w:val="center"/>
          </w:tcPr>
          <w:p w:rsidR="00204662" w:rsidRPr="009755B2" w:rsidRDefault="00204662" w:rsidP="00DF7785">
            <w:pPr>
              <w:spacing w:after="0" w:line="240" w:lineRule="auto"/>
              <w:jc w:val="both"/>
              <w:rPr>
                <w:rFonts w:ascii="Arial" w:eastAsia="Times New Roman" w:hAnsi="Arial" w:cs="Arial"/>
                <w:bCs/>
                <w:color w:val="000000"/>
                <w:sz w:val="20"/>
                <w:szCs w:val="20"/>
                <w:lang w:eastAsia="pt-BR"/>
              </w:rPr>
            </w:pPr>
            <w:r w:rsidRPr="009755B2">
              <w:rPr>
                <w:rFonts w:ascii="Arial" w:eastAsia="Times New Roman" w:hAnsi="Arial" w:cs="Arial"/>
                <w:bCs/>
                <w:color w:val="000000"/>
                <w:sz w:val="20"/>
                <w:szCs w:val="20"/>
                <w:lang w:eastAsia="pt-BR"/>
              </w:rPr>
              <w:t>3.9.9</w:t>
            </w:r>
          </w:p>
        </w:tc>
        <w:tc>
          <w:tcPr>
            <w:tcW w:w="3641" w:type="dxa"/>
            <w:tcBorders>
              <w:top w:val="nil"/>
              <w:left w:val="nil"/>
              <w:bottom w:val="single" w:sz="8" w:space="0" w:color="92CDDC"/>
              <w:right w:val="single" w:sz="8" w:space="0" w:color="92CDDC"/>
            </w:tcBorders>
            <w:shd w:val="clear" w:color="auto" w:fill="auto"/>
            <w:vAlign w:val="center"/>
          </w:tcPr>
          <w:p w:rsidR="00204662" w:rsidRPr="009755B2" w:rsidRDefault="00204662" w:rsidP="00DF7785">
            <w:pPr>
              <w:spacing w:after="0" w:line="240" w:lineRule="auto"/>
              <w:jc w:val="both"/>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Diversas variações patrimoniais diminutivas</w:t>
            </w:r>
          </w:p>
        </w:tc>
        <w:tc>
          <w:tcPr>
            <w:tcW w:w="1379" w:type="dxa"/>
            <w:tcBorders>
              <w:top w:val="nil"/>
              <w:left w:val="nil"/>
              <w:bottom w:val="single" w:sz="8" w:space="0" w:color="92CDDC"/>
              <w:right w:val="single" w:sz="4" w:space="0" w:color="4BACC6" w:themeColor="accent5"/>
            </w:tcBorders>
          </w:tcPr>
          <w:p w:rsidR="00204662" w:rsidRPr="009755B2" w:rsidRDefault="0020466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22.249,60</w:t>
            </w:r>
          </w:p>
        </w:tc>
        <w:tc>
          <w:tcPr>
            <w:tcW w:w="850" w:type="dxa"/>
            <w:tcBorders>
              <w:top w:val="nil"/>
              <w:left w:val="single" w:sz="4" w:space="0" w:color="4BACC6" w:themeColor="accent5"/>
              <w:bottom w:val="single" w:sz="8" w:space="0" w:color="92CDDC"/>
              <w:right w:val="single" w:sz="4" w:space="0" w:color="4BACC6" w:themeColor="accent5"/>
            </w:tcBorders>
          </w:tcPr>
          <w:p w:rsidR="00204662" w:rsidRPr="009755B2" w:rsidRDefault="00D200D2"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0,52</w:t>
            </w:r>
          </w:p>
        </w:tc>
        <w:tc>
          <w:tcPr>
            <w:tcW w:w="1560" w:type="dxa"/>
            <w:tcBorders>
              <w:top w:val="nil"/>
              <w:left w:val="single" w:sz="4" w:space="0" w:color="4BACC6" w:themeColor="accent5"/>
              <w:bottom w:val="single" w:sz="8" w:space="0" w:color="92CDDC"/>
              <w:right w:val="single" w:sz="8" w:space="0" w:color="92CDDC"/>
            </w:tcBorders>
            <w:shd w:val="clear" w:color="auto" w:fill="auto"/>
          </w:tcPr>
          <w:p w:rsidR="00204662" w:rsidRPr="009755B2" w:rsidRDefault="00F97FCE"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0,00</w:t>
            </w:r>
          </w:p>
        </w:tc>
        <w:tc>
          <w:tcPr>
            <w:tcW w:w="992" w:type="dxa"/>
            <w:tcBorders>
              <w:top w:val="nil"/>
              <w:left w:val="nil"/>
              <w:bottom w:val="single" w:sz="8" w:space="0" w:color="92CDDC"/>
              <w:right w:val="single" w:sz="8" w:space="0" w:color="92CDDC"/>
            </w:tcBorders>
            <w:shd w:val="clear" w:color="auto" w:fill="auto"/>
          </w:tcPr>
          <w:p w:rsidR="00204662" w:rsidRPr="009755B2" w:rsidRDefault="00F97FCE" w:rsidP="009755B2">
            <w:pPr>
              <w:spacing w:after="0" w:line="240" w:lineRule="auto"/>
              <w:jc w:val="right"/>
              <w:rPr>
                <w:rFonts w:ascii="Arial" w:eastAsia="Times New Roman" w:hAnsi="Arial" w:cs="Arial"/>
                <w:color w:val="000000"/>
                <w:sz w:val="20"/>
                <w:szCs w:val="20"/>
                <w:lang w:eastAsia="pt-BR"/>
              </w:rPr>
            </w:pPr>
            <w:r w:rsidRPr="009755B2">
              <w:rPr>
                <w:rFonts w:ascii="Arial" w:eastAsia="Times New Roman" w:hAnsi="Arial" w:cs="Arial"/>
                <w:color w:val="000000"/>
                <w:sz w:val="20"/>
                <w:szCs w:val="20"/>
                <w:lang w:eastAsia="pt-BR"/>
              </w:rPr>
              <w:t>0,00</w:t>
            </w:r>
          </w:p>
        </w:tc>
      </w:tr>
      <w:tr w:rsidR="00D200D2" w:rsidRPr="00DF7785" w:rsidTr="009755B2">
        <w:trPr>
          <w:trHeight w:val="255"/>
        </w:trPr>
        <w:tc>
          <w:tcPr>
            <w:tcW w:w="4495" w:type="dxa"/>
            <w:gridSpan w:val="2"/>
            <w:tcBorders>
              <w:top w:val="single" w:sz="8" w:space="0" w:color="92CDDC"/>
              <w:left w:val="single" w:sz="8" w:space="0" w:color="92CDDC"/>
              <w:bottom w:val="single" w:sz="8" w:space="0" w:color="92CDDC"/>
              <w:right w:val="single" w:sz="8" w:space="0" w:color="92CDDC"/>
            </w:tcBorders>
            <w:shd w:val="clear" w:color="auto" w:fill="auto"/>
            <w:vAlign w:val="center"/>
            <w:hideMark/>
          </w:tcPr>
          <w:p w:rsidR="00F472E1" w:rsidRPr="009755B2" w:rsidRDefault="00F472E1" w:rsidP="00DF7785">
            <w:pPr>
              <w:spacing w:after="0" w:line="240" w:lineRule="auto"/>
              <w:jc w:val="both"/>
              <w:rPr>
                <w:rFonts w:ascii="Arial" w:eastAsia="Times New Roman" w:hAnsi="Arial" w:cs="Arial"/>
                <w:b/>
                <w:bCs/>
                <w:color w:val="000000"/>
                <w:sz w:val="20"/>
                <w:szCs w:val="20"/>
                <w:lang w:eastAsia="pt-BR"/>
              </w:rPr>
            </w:pPr>
            <w:r w:rsidRPr="009755B2">
              <w:rPr>
                <w:rFonts w:ascii="Arial" w:eastAsia="Times New Roman" w:hAnsi="Arial" w:cs="Arial"/>
                <w:b/>
                <w:bCs/>
                <w:color w:val="000000"/>
                <w:sz w:val="20"/>
                <w:szCs w:val="20"/>
                <w:lang w:eastAsia="pt-BR"/>
              </w:rPr>
              <w:t>Total</w:t>
            </w:r>
          </w:p>
        </w:tc>
        <w:tc>
          <w:tcPr>
            <w:tcW w:w="1379" w:type="dxa"/>
            <w:tcBorders>
              <w:top w:val="nil"/>
              <w:left w:val="nil"/>
              <w:bottom w:val="single" w:sz="8" w:space="0" w:color="92CDDC"/>
              <w:right w:val="single" w:sz="4" w:space="0" w:color="4BACC6" w:themeColor="accent5"/>
            </w:tcBorders>
          </w:tcPr>
          <w:p w:rsidR="00F472E1" w:rsidRPr="009755B2" w:rsidRDefault="00F97FCE" w:rsidP="009755B2">
            <w:pPr>
              <w:spacing w:after="0" w:line="240" w:lineRule="auto"/>
              <w:jc w:val="right"/>
              <w:rPr>
                <w:rFonts w:ascii="Arial" w:eastAsia="Times New Roman" w:hAnsi="Arial" w:cs="Arial"/>
                <w:b/>
                <w:bCs/>
                <w:color w:val="000000"/>
                <w:sz w:val="20"/>
                <w:szCs w:val="20"/>
                <w:lang w:eastAsia="pt-BR"/>
              </w:rPr>
            </w:pPr>
            <w:r w:rsidRPr="009755B2">
              <w:rPr>
                <w:rFonts w:ascii="Arial" w:eastAsia="Times New Roman" w:hAnsi="Arial" w:cs="Arial"/>
                <w:b/>
                <w:bCs/>
                <w:color w:val="000000"/>
                <w:sz w:val="20"/>
                <w:szCs w:val="20"/>
                <w:lang w:eastAsia="pt-BR"/>
              </w:rPr>
              <w:t>4.242.791,75</w:t>
            </w:r>
          </w:p>
        </w:tc>
        <w:tc>
          <w:tcPr>
            <w:tcW w:w="850" w:type="dxa"/>
            <w:tcBorders>
              <w:top w:val="nil"/>
              <w:left w:val="single" w:sz="4" w:space="0" w:color="4BACC6" w:themeColor="accent5"/>
              <w:bottom w:val="single" w:sz="8" w:space="0" w:color="92CDDC"/>
              <w:right w:val="single" w:sz="4" w:space="0" w:color="4BACC6" w:themeColor="accent5"/>
            </w:tcBorders>
          </w:tcPr>
          <w:p w:rsidR="00F472E1" w:rsidRPr="009755B2" w:rsidRDefault="00204662" w:rsidP="009755B2">
            <w:pPr>
              <w:spacing w:after="0" w:line="240" w:lineRule="auto"/>
              <w:jc w:val="right"/>
              <w:rPr>
                <w:rFonts w:ascii="Arial" w:eastAsia="Times New Roman" w:hAnsi="Arial" w:cs="Arial"/>
                <w:b/>
                <w:bCs/>
                <w:color w:val="000000"/>
                <w:sz w:val="20"/>
                <w:szCs w:val="20"/>
                <w:lang w:eastAsia="pt-BR"/>
              </w:rPr>
            </w:pPr>
            <w:r w:rsidRPr="009755B2">
              <w:rPr>
                <w:rFonts w:ascii="Arial" w:eastAsia="Times New Roman" w:hAnsi="Arial" w:cs="Arial"/>
                <w:b/>
                <w:bCs/>
                <w:color w:val="000000"/>
                <w:sz w:val="20"/>
                <w:szCs w:val="20"/>
                <w:lang w:eastAsia="pt-BR"/>
              </w:rPr>
              <w:t>100</w:t>
            </w:r>
          </w:p>
        </w:tc>
        <w:tc>
          <w:tcPr>
            <w:tcW w:w="1560" w:type="dxa"/>
            <w:tcBorders>
              <w:top w:val="nil"/>
              <w:left w:val="single" w:sz="4" w:space="0" w:color="4BACC6" w:themeColor="accent5"/>
              <w:bottom w:val="single" w:sz="8" w:space="0" w:color="92CDDC"/>
              <w:right w:val="single" w:sz="8" w:space="0" w:color="92CDDC"/>
            </w:tcBorders>
            <w:shd w:val="clear" w:color="auto" w:fill="auto"/>
            <w:hideMark/>
          </w:tcPr>
          <w:p w:rsidR="00F472E1" w:rsidRPr="009755B2" w:rsidRDefault="00F472E1" w:rsidP="009755B2">
            <w:pPr>
              <w:spacing w:after="0" w:line="240" w:lineRule="auto"/>
              <w:jc w:val="right"/>
              <w:rPr>
                <w:rFonts w:ascii="Arial" w:eastAsia="Times New Roman" w:hAnsi="Arial" w:cs="Arial"/>
                <w:b/>
                <w:bCs/>
                <w:color w:val="000000"/>
                <w:sz w:val="20"/>
                <w:szCs w:val="20"/>
                <w:lang w:eastAsia="pt-BR"/>
              </w:rPr>
            </w:pPr>
            <w:r w:rsidRPr="009755B2">
              <w:rPr>
                <w:rFonts w:ascii="Arial" w:eastAsia="Times New Roman" w:hAnsi="Arial" w:cs="Arial"/>
                <w:b/>
                <w:bCs/>
                <w:color w:val="000000"/>
                <w:sz w:val="20"/>
                <w:szCs w:val="20"/>
                <w:lang w:eastAsia="pt-BR"/>
              </w:rPr>
              <w:t>3.116.396,39</w:t>
            </w:r>
          </w:p>
        </w:tc>
        <w:tc>
          <w:tcPr>
            <w:tcW w:w="992" w:type="dxa"/>
            <w:tcBorders>
              <w:top w:val="nil"/>
              <w:left w:val="nil"/>
              <w:bottom w:val="single" w:sz="8" w:space="0" w:color="92CDDC"/>
              <w:right w:val="single" w:sz="8" w:space="0" w:color="92CDDC"/>
            </w:tcBorders>
            <w:shd w:val="clear" w:color="auto" w:fill="auto"/>
            <w:hideMark/>
          </w:tcPr>
          <w:p w:rsidR="00F472E1" w:rsidRPr="009755B2" w:rsidRDefault="009755B2" w:rsidP="009755B2">
            <w:pPr>
              <w:spacing w:after="0" w:line="240" w:lineRule="auto"/>
              <w:ind w:right="222"/>
              <w:jc w:val="right"/>
              <w:rPr>
                <w:rFonts w:ascii="Arial" w:eastAsia="Times New Roman" w:hAnsi="Arial" w:cs="Arial"/>
                <w:b/>
                <w:bCs/>
                <w:color w:val="000000"/>
                <w:sz w:val="20"/>
                <w:szCs w:val="20"/>
                <w:lang w:eastAsia="pt-BR"/>
              </w:rPr>
            </w:pPr>
            <w:r w:rsidRPr="009755B2">
              <w:rPr>
                <w:rFonts w:ascii="Arial" w:eastAsia="Times New Roman" w:hAnsi="Arial" w:cs="Arial"/>
                <w:b/>
                <w:bCs/>
                <w:color w:val="000000"/>
                <w:sz w:val="20"/>
                <w:szCs w:val="20"/>
                <w:lang w:eastAsia="pt-BR"/>
              </w:rPr>
              <w:t>100</w:t>
            </w:r>
          </w:p>
        </w:tc>
      </w:tr>
    </w:tbl>
    <w:p w:rsidR="008A3226" w:rsidRPr="00DD0B55" w:rsidRDefault="008A3226" w:rsidP="00807064">
      <w:pPr>
        <w:autoSpaceDE w:val="0"/>
        <w:autoSpaceDN w:val="0"/>
        <w:adjustRightInd w:val="0"/>
        <w:spacing w:after="0" w:line="240" w:lineRule="auto"/>
        <w:jc w:val="both"/>
        <w:rPr>
          <w:rFonts w:ascii="Arial" w:hAnsi="Arial" w:cs="Arial"/>
        </w:rPr>
      </w:pPr>
    </w:p>
    <w:p w:rsidR="008A3226" w:rsidRDefault="00A82E74"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Em 2019, o</w:t>
      </w:r>
      <w:r w:rsidR="008A3226" w:rsidRPr="00A62F33">
        <w:rPr>
          <w:rFonts w:ascii="Arial" w:hAnsi="Arial" w:cs="Arial"/>
          <w:sz w:val="24"/>
          <w:szCs w:val="24"/>
        </w:rPr>
        <w:t xml:space="preserve"> gasto com pessoal representa </w:t>
      </w:r>
      <w:r w:rsidR="00BE2B94">
        <w:rPr>
          <w:rFonts w:ascii="Arial" w:hAnsi="Arial" w:cs="Arial"/>
          <w:sz w:val="24"/>
          <w:szCs w:val="24"/>
        </w:rPr>
        <w:t>38,18</w:t>
      </w:r>
      <w:r w:rsidR="008A3226" w:rsidRPr="00A62F33">
        <w:rPr>
          <w:rFonts w:ascii="Arial" w:hAnsi="Arial" w:cs="Arial"/>
          <w:sz w:val="24"/>
          <w:szCs w:val="24"/>
        </w:rPr>
        <w:t xml:space="preserve">% das variações patrimoniais diminutivas, </w:t>
      </w:r>
      <w:r w:rsidR="00D31DA7" w:rsidRPr="00A62F33">
        <w:rPr>
          <w:rFonts w:ascii="Arial" w:hAnsi="Arial" w:cs="Arial"/>
          <w:sz w:val="24"/>
          <w:szCs w:val="24"/>
        </w:rPr>
        <w:t>referentes encargos</w:t>
      </w:r>
      <w:r w:rsidR="008A3226" w:rsidRPr="00A62F33">
        <w:rPr>
          <w:rFonts w:ascii="Arial" w:hAnsi="Arial" w:cs="Arial"/>
          <w:sz w:val="24"/>
          <w:szCs w:val="24"/>
        </w:rPr>
        <w:t xml:space="preserve"> patronais e remuneração de pessoal.</w:t>
      </w:r>
      <w:r w:rsidR="006E1D07">
        <w:rPr>
          <w:rFonts w:ascii="Arial" w:hAnsi="Arial" w:cs="Arial"/>
          <w:sz w:val="24"/>
          <w:szCs w:val="24"/>
        </w:rPr>
        <w:t xml:space="preserve"> Os serviços por sua vez representam </w:t>
      </w:r>
      <w:r w:rsidR="00BE2B94">
        <w:rPr>
          <w:rFonts w:ascii="Arial" w:hAnsi="Arial" w:cs="Arial"/>
          <w:sz w:val="24"/>
          <w:szCs w:val="24"/>
        </w:rPr>
        <w:t>24,07</w:t>
      </w:r>
      <w:r w:rsidR="006E1D07">
        <w:rPr>
          <w:rFonts w:ascii="Arial" w:hAnsi="Arial" w:cs="Arial"/>
          <w:sz w:val="24"/>
          <w:szCs w:val="24"/>
        </w:rPr>
        <w:t xml:space="preserve">% do total das variações diminutivas. </w:t>
      </w:r>
    </w:p>
    <w:p w:rsidR="006E1D07" w:rsidRDefault="006E1D07" w:rsidP="00807064">
      <w:pPr>
        <w:autoSpaceDE w:val="0"/>
        <w:autoSpaceDN w:val="0"/>
        <w:adjustRightInd w:val="0"/>
        <w:spacing w:after="0" w:line="240" w:lineRule="auto"/>
        <w:jc w:val="both"/>
        <w:rPr>
          <w:rFonts w:ascii="Arial" w:hAnsi="Arial" w:cs="Arial"/>
          <w:sz w:val="24"/>
          <w:szCs w:val="24"/>
        </w:rPr>
      </w:pPr>
    </w:p>
    <w:p w:rsidR="0077626D" w:rsidRPr="003D27D6" w:rsidRDefault="0077626D" w:rsidP="0077626D">
      <w:pPr>
        <w:autoSpaceDE w:val="0"/>
        <w:autoSpaceDN w:val="0"/>
        <w:adjustRightInd w:val="0"/>
        <w:spacing w:after="0" w:line="240" w:lineRule="auto"/>
        <w:jc w:val="both"/>
        <w:rPr>
          <w:rFonts w:ascii="Arial" w:hAnsi="Arial" w:cs="Arial"/>
          <w:sz w:val="24"/>
          <w:szCs w:val="24"/>
        </w:rPr>
      </w:pPr>
      <w:r w:rsidRPr="003D27D6">
        <w:rPr>
          <w:rFonts w:ascii="Arial" w:hAnsi="Arial" w:cs="Arial"/>
          <w:sz w:val="24"/>
          <w:szCs w:val="24"/>
        </w:rPr>
        <w:t xml:space="preserve">Nota-que que </w:t>
      </w:r>
      <w:r>
        <w:rPr>
          <w:rFonts w:ascii="Arial" w:hAnsi="Arial" w:cs="Arial"/>
          <w:sz w:val="24"/>
          <w:szCs w:val="24"/>
        </w:rPr>
        <w:t>R$ 525.388,03</w:t>
      </w:r>
      <w:r w:rsidRPr="003D27D6">
        <w:rPr>
          <w:rFonts w:ascii="Arial" w:hAnsi="Arial" w:cs="Arial"/>
          <w:sz w:val="24"/>
          <w:szCs w:val="24"/>
        </w:rPr>
        <w:t xml:space="preserve">, ou seja, </w:t>
      </w:r>
      <w:r>
        <w:rPr>
          <w:rFonts w:ascii="Arial" w:hAnsi="Arial" w:cs="Arial"/>
          <w:sz w:val="24"/>
          <w:szCs w:val="24"/>
        </w:rPr>
        <w:t>12,38</w:t>
      </w:r>
      <w:r w:rsidRPr="003D27D6">
        <w:rPr>
          <w:rFonts w:ascii="Arial" w:hAnsi="Arial" w:cs="Arial"/>
          <w:sz w:val="24"/>
          <w:szCs w:val="24"/>
        </w:rPr>
        <w:t xml:space="preserve">% das </w:t>
      </w:r>
      <w:proofErr w:type="spellStart"/>
      <w:r w:rsidRPr="003D27D6">
        <w:rPr>
          <w:rFonts w:ascii="Arial" w:hAnsi="Arial" w:cs="Arial"/>
          <w:sz w:val="24"/>
          <w:szCs w:val="24"/>
        </w:rPr>
        <w:t>VPDs</w:t>
      </w:r>
      <w:proofErr w:type="spellEnd"/>
      <w:r w:rsidRPr="003D27D6">
        <w:rPr>
          <w:rFonts w:ascii="Arial" w:hAnsi="Arial" w:cs="Arial"/>
          <w:sz w:val="24"/>
          <w:szCs w:val="24"/>
        </w:rPr>
        <w:t>, referem-se Reavaliação, redução a valor recuperável e ajuste para perdas</w:t>
      </w:r>
      <w:r w:rsidR="00F3137C">
        <w:rPr>
          <w:rFonts w:ascii="Arial" w:hAnsi="Arial" w:cs="Arial"/>
          <w:sz w:val="24"/>
          <w:szCs w:val="24"/>
        </w:rPr>
        <w:t xml:space="preserve">, referem-se à </w:t>
      </w:r>
      <w:r w:rsidRPr="003D27D6">
        <w:rPr>
          <w:rFonts w:ascii="Arial" w:hAnsi="Arial" w:cs="Arial"/>
          <w:sz w:val="24"/>
          <w:szCs w:val="24"/>
        </w:rPr>
        <w:t>reavaliação do patrimônio. Esse resultado foi alcançado com base em levantamento físico e atualização contábil, realizado em 2019, onde os ativos foram avaliados a preço de mercado atual, a depreciação foi zerada e reiniciou a partir da data de corte, 01 de dezembro de 2019.</w:t>
      </w:r>
      <w:r>
        <w:rPr>
          <w:rFonts w:ascii="Arial" w:hAnsi="Arial" w:cs="Arial"/>
          <w:sz w:val="24"/>
          <w:szCs w:val="24"/>
        </w:rPr>
        <w:t xml:space="preserve"> Também houveram ganhos na reavaliação, apresentadas no grupo das variações patrimoniais aumentativas.</w:t>
      </w:r>
    </w:p>
    <w:p w:rsidR="0077626D" w:rsidRDefault="0077626D" w:rsidP="00807064">
      <w:pPr>
        <w:autoSpaceDE w:val="0"/>
        <w:autoSpaceDN w:val="0"/>
        <w:adjustRightInd w:val="0"/>
        <w:spacing w:after="0" w:line="240" w:lineRule="auto"/>
        <w:jc w:val="both"/>
        <w:rPr>
          <w:rFonts w:ascii="Arial" w:hAnsi="Arial" w:cs="Arial"/>
          <w:sz w:val="24"/>
          <w:szCs w:val="24"/>
        </w:rPr>
      </w:pPr>
    </w:p>
    <w:p w:rsidR="006E1D07" w:rsidRDefault="006E1D07"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variações patrimoniais diminutivas representam o esforço d</w:t>
      </w:r>
      <w:r w:rsidR="00985DAC">
        <w:rPr>
          <w:rFonts w:ascii="Arial" w:hAnsi="Arial" w:cs="Arial"/>
          <w:sz w:val="24"/>
          <w:szCs w:val="24"/>
        </w:rPr>
        <w:t>o</w:t>
      </w:r>
      <w:r w:rsidR="009E120F">
        <w:rPr>
          <w:rFonts w:ascii="Arial" w:hAnsi="Arial" w:cs="Arial"/>
          <w:sz w:val="24"/>
          <w:szCs w:val="24"/>
        </w:rPr>
        <w:t xml:space="preserve"> Fundo Municipal de Saúde</w:t>
      </w:r>
      <w:r>
        <w:rPr>
          <w:rFonts w:ascii="Arial" w:hAnsi="Arial" w:cs="Arial"/>
          <w:sz w:val="24"/>
          <w:szCs w:val="24"/>
        </w:rPr>
        <w:t xml:space="preserve"> na prestação de serviços </w:t>
      </w:r>
      <w:r w:rsidR="00D31DA7">
        <w:rPr>
          <w:rFonts w:ascii="Arial" w:hAnsi="Arial" w:cs="Arial"/>
          <w:sz w:val="24"/>
          <w:szCs w:val="24"/>
        </w:rPr>
        <w:t>à</w:t>
      </w:r>
      <w:r>
        <w:rPr>
          <w:rFonts w:ascii="Arial" w:hAnsi="Arial" w:cs="Arial"/>
          <w:sz w:val="24"/>
          <w:szCs w:val="24"/>
        </w:rPr>
        <w:t xml:space="preserve"> população, bem como aquisição de produtos e execução de programas, buscando atender o objetivo da administração pública em melhorar a qualidade de vida das pessoas e garantir os serviços essenciais.</w:t>
      </w:r>
    </w:p>
    <w:p w:rsidR="006E1D07" w:rsidRDefault="006E1D07" w:rsidP="00807064">
      <w:pPr>
        <w:autoSpaceDE w:val="0"/>
        <w:autoSpaceDN w:val="0"/>
        <w:adjustRightInd w:val="0"/>
        <w:spacing w:after="0" w:line="240" w:lineRule="auto"/>
        <w:jc w:val="both"/>
        <w:rPr>
          <w:rFonts w:ascii="Arial" w:hAnsi="Arial" w:cs="Arial"/>
          <w:sz w:val="24"/>
          <w:szCs w:val="24"/>
        </w:rPr>
      </w:pPr>
    </w:p>
    <w:p w:rsidR="008A3226" w:rsidRPr="00D15A04"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lang w:val="es-ES_tradnl"/>
        </w:rPr>
      </w:pPr>
      <w:r w:rsidRPr="00D15A04">
        <w:rPr>
          <w:rFonts w:ascii="Segoe Script" w:hAnsi="Segoe Script" w:cs="Arial"/>
          <w:b/>
          <w:color w:val="984806" w:themeColor="accent6" w:themeShade="80"/>
          <w:sz w:val="26"/>
          <w:szCs w:val="26"/>
          <w:lang w:val="es-ES_tradnl"/>
        </w:rPr>
        <w:t>VARIAÇÕES PATRIMONIAIS AUMENTATIVAS</w:t>
      </w:r>
    </w:p>
    <w:p w:rsidR="0026351F" w:rsidRPr="00B034E3" w:rsidRDefault="0026351F" w:rsidP="00807064">
      <w:pPr>
        <w:autoSpaceDE w:val="0"/>
        <w:autoSpaceDN w:val="0"/>
        <w:adjustRightInd w:val="0"/>
        <w:spacing w:after="0" w:line="240" w:lineRule="auto"/>
        <w:jc w:val="both"/>
        <w:rPr>
          <w:rFonts w:ascii="Arial" w:hAnsi="Arial" w:cs="Arial"/>
          <w:sz w:val="24"/>
          <w:szCs w:val="24"/>
        </w:rPr>
      </w:pPr>
    </w:p>
    <w:p w:rsidR="001C57CF" w:rsidRPr="003A6484" w:rsidRDefault="003A6484" w:rsidP="00807064">
      <w:pPr>
        <w:autoSpaceDE w:val="0"/>
        <w:autoSpaceDN w:val="0"/>
        <w:adjustRightInd w:val="0"/>
        <w:spacing w:after="0" w:line="240" w:lineRule="auto"/>
        <w:jc w:val="both"/>
        <w:rPr>
          <w:rFonts w:ascii="Arial" w:hAnsi="Arial" w:cs="Arial"/>
          <w:color w:val="215868" w:themeColor="accent5" w:themeShade="80"/>
          <w:sz w:val="24"/>
          <w:szCs w:val="24"/>
        </w:rPr>
      </w:pPr>
      <w:r>
        <w:rPr>
          <w:rFonts w:ascii="Arial" w:hAnsi="Arial" w:cs="Arial"/>
          <w:color w:val="215868" w:themeColor="accent5" w:themeShade="80"/>
          <w:sz w:val="24"/>
          <w:szCs w:val="24"/>
        </w:rPr>
        <w:t>a)</w:t>
      </w:r>
      <w:r w:rsidR="0093664A" w:rsidRPr="003A6484">
        <w:rPr>
          <w:rFonts w:ascii="Arial" w:hAnsi="Arial" w:cs="Arial"/>
          <w:color w:val="215868" w:themeColor="accent5" w:themeShade="80"/>
          <w:sz w:val="24"/>
          <w:szCs w:val="24"/>
        </w:rPr>
        <w:t xml:space="preserve"> Variações Patrimoniais Aumentativas</w:t>
      </w:r>
    </w:p>
    <w:tbl>
      <w:tblPr>
        <w:tblW w:w="9276" w:type="dxa"/>
        <w:tblInd w:w="70" w:type="dxa"/>
        <w:tblLayout w:type="fixed"/>
        <w:tblCellMar>
          <w:left w:w="70" w:type="dxa"/>
          <w:right w:w="70" w:type="dxa"/>
        </w:tblCellMar>
        <w:tblLook w:val="04A0" w:firstRow="1" w:lastRow="0" w:firstColumn="1" w:lastColumn="0" w:noHBand="0" w:noVBand="1"/>
      </w:tblPr>
      <w:tblGrid>
        <w:gridCol w:w="913"/>
        <w:gridCol w:w="3543"/>
        <w:gridCol w:w="1417"/>
        <w:gridCol w:w="851"/>
        <w:gridCol w:w="1560"/>
        <w:gridCol w:w="992"/>
      </w:tblGrid>
      <w:tr w:rsidR="00F97FCE" w:rsidRPr="004A7BE9" w:rsidTr="007B30E3">
        <w:trPr>
          <w:trHeight w:val="255"/>
        </w:trPr>
        <w:tc>
          <w:tcPr>
            <w:tcW w:w="913" w:type="dxa"/>
            <w:tcBorders>
              <w:top w:val="single" w:sz="8" w:space="0" w:color="4BACC6"/>
              <w:left w:val="single" w:sz="8" w:space="0" w:color="4BACC6"/>
              <w:bottom w:val="single" w:sz="8" w:space="0" w:color="4BACC6"/>
              <w:right w:val="nil"/>
            </w:tcBorders>
            <w:shd w:val="clear" w:color="000000" w:fill="4BACC6"/>
            <w:vAlign w:val="center"/>
            <w:hideMark/>
          </w:tcPr>
          <w:p w:rsidR="00F97FCE" w:rsidRPr="004A7BE9" w:rsidRDefault="00F97FCE" w:rsidP="007B30E3">
            <w:pPr>
              <w:spacing w:after="0" w:line="240" w:lineRule="auto"/>
              <w:rPr>
                <w:rFonts w:ascii="Arial" w:eastAsia="Times New Roman" w:hAnsi="Arial" w:cs="Arial"/>
                <w:b/>
                <w:bCs/>
                <w:color w:val="000000"/>
                <w:sz w:val="20"/>
                <w:szCs w:val="20"/>
                <w:lang w:eastAsia="pt-BR"/>
              </w:rPr>
            </w:pPr>
            <w:r w:rsidRPr="004A7BE9">
              <w:rPr>
                <w:rFonts w:ascii="Arial" w:eastAsia="Times New Roman" w:hAnsi="Arial" w:cs="Arial"/>
                <w:b/>
                <w:bCs/>
                <w:color w:val="000000"/>
                <w:sz w:val="20"/>
                <w:szCs w:val="20"/>
                <w:lang w:eastAsia="pt-BR"/>
              </w:rPr>
              <w:t>CONTA</w:t>
            </w:r>
          </w:p>
        </w:tc>
        <w:tc>
          <w:tcPr>
            <w:tcW w:w="3543" w:type="dxa"/>
            <w:tcBorders>
              <w:top w:val="single" w:sz="8" w:space="0" w:color="4BACC6"/>
              <w:left w:val="nil"/>
              <w:bottom w:val="single" w:sz="8" w:space="0" w:color="4BACC6"/>
              <w:right w:val="nil"/>
            </w:tcBorders>
            <w:shd w:val="clear" w:color="000000" w:fill="4BACC6"/>
            <w:vAlign w:val="center"/>
            <w:hideMark/>
          </w:tcPr>
          <w:p w:rsidR="00F97FCE" w:rsidRPr="004A7BE9" w:rsidRDefault="00F97FCE" w:rsidP="007B30E3">
            <w:pPr>
              <w:spacing w:after="0" w:line="240" w:lineRule="auto"/>
              <w:rPr>
                <w:rFonts w:ascii="Arial" w:eastAsia="Times New Roman" w:hAnsi="Arial" w:cs="Arial"/>
                <w:b/>
                <w:bCs/>
                <w:color w:val="000000"/>
                <w:sz w:val="20"/>
                <w:szCs w:val="20"/>
                <w:lang w:eastAsia="pt-BR"/>
              </w:rPr>
            </w:pPr>
            <w:r w:rsidRPr="004A7BE9">
              <w:rPr>
                <w:rFonts w:ascii="Arial" w:eastAsia="Times New Roman" w:hAnsi="Arial" w:cs="Arial"/>
                <w:b/>
                <w:bCs/>
                <w:color w:val="000000"/>
                <w:sz w:val="20"/>
                <w:szCs w:val="20"/>
                <w:lang w:eastAsia="pt-BR"/>
              </w:rPr>
              <w:t>DESCRIÇÃO</w:t>
            </w:r>
          </w:p>
        </w:tc>
        <w:tc>
          <w:tcPr>
            <w:tcW w:w="1417" w:type="dxa"/>
            <w:tcBorders>
              <w:top w:val="single" w:sz="8" w:space="0" w:color="4BACC6"/>
              <w:left w:val="nil"/>
              <w:bottom w:val="single" w:sz="8" w:space="0" w:color="4BACC6"/>
              <w:right w:val="single" w:sz="4" w:space="0" w:color="4BACC6" w:themeColor="accent5"/>
            </w:tcBorders>
            <w:shd w:val="clear" w:color="000000" w:fill="4BACC6"/>
          </w:tcPr>
          <w:p w:rsidR="00F97FCE" w:rsidRPr="004A7BE9" w:rsidRDefault="00EF06B0" w:rsidP="007B30E3">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w:t>
            </w:r>
          </w:p>
        </w:tc>
        <w:tc>
          <w:tcPr>
            <w:tcW w:w="851" w:type="dxa"/>
            <w:tcBorders>
              <w:top w:val="single" w:sz="8" w:space="0" w:color="4BACC6"/>
              <w:left w:val="single" w:sz="4" w:space="0" w:color="4BACC6" w:themeColor="accent5"/>
              <w:bottom w:val="single" w:sz="8" w:space="0" w:color="4BACC6"/>
              <w:right w:val="single" w:sz="4" w:space="0" w:color="4BACC6" w:themeColor="accent5"/>
            </w:tcBorders>
            <w:shd w:val="clear" w:color="000000" w:fill="4BACC6"/>
          </w:tcPr>
          <w:p w:rsidR="00F97FCE" w:rsidRPr="004A7BE9" w:rsidRDefault="00EF06B0" w:rsidP="007B30E3">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2019 %</w:t>
            </w:r>
          </w:p>
        </w:tc>
        <w:tc>
          <w:tcPr>
            <w:tcW w:w="1560" w:type="dxa"/>
            <w:tcBorders>
              <w:top w:val="single" w:sz="8" w:space="0" w:color="4BACC6"/>
              <w:left w:val="single" w:sz="4" w:space="0" w:color="4BACC6" w:themeColor="accent5"/>
              <w:bottom w:val="single" w:sz="8" w:space="0" w:color="4BACC6"/>
              <w:right w:val="nil"/>
            </w:tcBorders>
            <w:shd w:val="clear" w:color="000000" w:fill="4BACC6"/>
            <w:vAlign w:val="center"/>
            <w:hideMark/>
          </w:tcPr>
          <w:p w:rsidR="00F97FCE" w:rsidRPr="004A7BE9" w:rsidRDefault="00EF06B0" w:rsidP="007B30E3">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2018</w:t>
            </w:r>
          </w:p>
        </w:tc>
        <w:tc>
          <w:tcPr>
            <w:tcW w:w="992" w:type="dxa"/>
            <w:tcBorders>
              <w:top w:val="single" w:sz="8" w:space="0" w:color="4BACC6"/>
              <w:left w:val="nil"/>
              <w:bottom w:val="single" w:sz="8" w:space="0" w:color="4BACC6"/>
              <w:right w:val="single" w:sz="8" w:space="0" w:color="4BACC6"/>
            </w:tcBorders>
            <w:shd w:val="clear" w:color="000000" w:fill="4BACC6"/>
            <w:vAlign w:val="center"/>
            <w:hideMark/>
          </w:tcPr>
          <w:p w:rsidR="00F97FCE" w:rsidRPr="004A7BE9" w:rsidRDefault="00EF06B0" w:rsidP="007B30E3">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 xml:space="preserve">2018 </w:t>
            </w:r>
            <w:r w:rsidR="00F97FCE" w:rsidRPr="004A7BE9">
              <w:rPr>
                <w:rFonts w:ascii="Arial" w:eastAsia="Times New Roman" w:hAnsi="Arial" w:cs="Arial"/>
                <w:b/>
                <w:bCs/>
                <w:color w:val="000000"/>
                <w:sz w:val="20"/>
                <w:szCs w:val="20"/>
                <w:lang w:eastAsia="pt-BR"/>
              </w:rPr>
              <w:t>%</w:t>
            </w:r>
          </w:p>
        </w:tc>
      </w:tr>
      <w:tr w:rsidR="00F97FCE" w:rsidRPr="004A7BE9" w:rsidTr="007B30E3">
        <w:trPr>
          <w:trHeight w:val="255"/>
        </w:trPr>
        <w:tc>
          <w:tcPr>
            <w:tcW w:w="913" w:type="dxa"/>
            <w:tcBorders>
              <w:top w:val="nil"/>
              <w:left w:val="single" w:sz="8" w:space="0" w:color="92CDDC"/>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both"/>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4.1.2</w:t>
            </w:r>
          </w:p>
        </w:tc>
        <w:tc>
          <w:tcPr>
            <w:tcW w:w="3543" w:type="dxa"/>
            <w:tcBorders>
              <w:top w:val="nil"/>
              <w:left w:val="nil"/>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both"/>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Taxas</w:t>
            </w:r>
          </w:p>
        </w:tc>
        <w:tc>
          <w:tcPr>
            <w:tcW w:w="1417" w:type="dxa"/>
            <w:tcBorders>
              <w:top w:val="nil"/>
              <w:left w:val="nil"/>
              <w:bottom w:val="single" w:sz="8" w:space="0" w:color="92CDDC"/>
              <w:right w:val="single" w:sz="4" w:space="0" w:color="4BACC6" w:themeColor="accent5"/>
            </w:tcBorders>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2.510,99</w:t>
            </w:r>
          </w:p>
        </w:tc>
        <w:tc>
          <w:tcPr>
            <w:tcW w:w="851" w:type="dxa"/>
            <w:tcBorders>
              <w:top w:val="nil"/>
              <w:left w:val="single" w:sz="4" w:space="0" w:color="4BACC6" w:themeColor="accent5"/>
              <w:bottom w:val="single" w:sz="8" w:space="0" w:color="92CDDC"/>
              <w:right w:val="single" w:sz="4" w:space="0" w:color="4BACC6" w:themeColor="accent5"/>
            </w:tcBorders>
          </w:tcPr>
          <w:p w:rsidR="00F97FCE" w:rsidRPr="004A7BE9" w:rsidRDefault="00EF06B0" w:rsidP="004A7BE9">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0,06</w:t>
            </w:r>
          </w:p>
        </w:tc>
        <w:tc>
          <w:tcPr>
            <w:tcW w:w="1560" w:type="dxa"/>
            <w:tcBorders>
              <w:top w:val="nil"/>
              <w:left w:val="single" w:sz="4" w:space="0" w:color="4BACC6" w:themeColor="accent5"/>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2.345,85</w:t>
            </w:r>
          </w:p>
        </w:tc>
        <w:tc>
          <w:tcPr>
            <w:tcW w:w="992" w:type="dxa"/>
            <w:tcBorders>
              <w:top w:val="nil"/>
              <w:left w:val="nil"/>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0,07</w:t>
            </w:r>
          </w:p>
        </w:tc>
      </w:tr>
      <w:tr w:rsidR="00F97FCE" w:rsidRPr="004A7BE9" w:rsidTr="007B30E3">
        <w:trPr>
          <w:trHeight w:val="255"/>
        </w:trPr>
        <w:tc>
          <w:tcPr>
            <w:tcW w:w="913" w:type="dxa"/>
            <w:tcBorders>
              <w:top w:val="nil"/>
              <w:left w:val="single" w:sz="8" w:space="0" w:color="92CDDC"/>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both"/>
              <w:rPr>
                <w:rFonts w:ascii="Arial" w:eastAsia="Times New Roman" w:hAnsi="Arial" w:cs="Arial"/>
                <w:color w:val="000000"/>
                <w:sz w:val="20"/>
                <w:szCs w:val="20"/>
                <w:lang w:eastAsia="pt-BR"/>
              </w:rPr>
            </w:pPr>
            <w:r w:rsidRPr="004A7BE9">
              <w:rPr>
                <w:rFonts w:ascii="Arial" w:eastAsia="Times New Roman" w:hAnsi="Arial" w:cs="Arial"/>
                <w:bCs/>
                <w:color w:val="000000"/>
                <w:sz w:val="20"/>
                <w:szCs w:val="20"/>
                <w:lang w:eastAsia="pt-BR"/>
              </w:rPr>
              <w:t>4.4.5</w:t>
            </w:r>
          </w:p>
        </w:tc>
        <w:tc>
          <w:tcPr>
            <w:tcW w:w="3543" w:type="dxa"/>
            <w:tcBorders>
              <w:top w:val="nil"/>
              <w:left w:val="nil"/>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both"/>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Remuneração de depósitos bancários e aplicações financeiras</w:t>
            </w:r>
          </w:p>
        </w:tc>
        <w:tc>
          <w:tcPr>
            <w:tcW w:w="1417" w:type="dxa"/>
            <w:tcBorders>
              <w:top w:val="nil"/>
              <w:left w:val="nil"/>
              <w:bottom w:val="single" w:sz="8" w:space="0" w:color="92CDDC"/>
              <w:right w:val="single" w:sz="4" w:space="0" w:color="4BACC6" w:themeColor="accent5"/>
            </w:tcBorders>
            <w:shd w:val="clear" w:color="000000" w:fill="DAEEF3"/>
          </w:tcPr>
          <w:p w:rsidR="00F97FCE" w:rsidRPr="004A7BE9" w:rsidRDefault="00F97FCE"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7.367,75</w:t>
            </w:r>
          </w:p>
        </w:tc>
        <w:tc>
          <w:tcPr>
            <w:tcW w:w="851" w:type="dxa"/>
            <w:tcBorders>
              <w:top w:val="nil"/>
              <w:left w:val="single" w:sz="4" w:space="0" w:color="4BACC6" w:themeColor="accent5"/>
              <w:bottom w:val="single" w:sz="8" w:space="0" w:color="92CDDC"/>
              <w:right w:val="single" w:sz="4" w:space="0" w:color="4BACC6" w:themeColor="accent5"/>
            </w:tcBorders>
            <w:shd w:val="clear" w:color="000000" w:fill="DAEEF3"/>
          </w:tcPr>
          <w:p w:rsidR="00F97FCE" w:rsidRPr="004A7BE9"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0,16</w:t>
            </w:r>
          </w:p>
        </w:tc>
        <w:tc>
          <w:tcPr>
            <w:tcW w:w="1560"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sidRPr="004A7BE9">
              <w:rPr>
                <w:rFonts w:ascii="Arial" w:eastAsia="Times New Roman" w:hAnsi="Arial" w:cs="Arial"/>
                <w:bCs/>
                <w:color w:val="000000"/>
                <w:sz w:val="20"/>
                <w:szCs w:val="20"/>
                <w:lang w:eastAsia="pt-BR"/>
              </w:rPr>
              <w:t>8.954,40</w:t>
            </w:r>
          </w:p>
        </w:tc>
        <w:tc>
          <w:tcPr>
            <w:tcW w:w="992" w:type="dxa"/>
            <w:tcBorders>
              <w:top w:val="nil"/>
              <w:left w:val="nil"/>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0,26</w:t>
            </w:r>
          </w:p>
        </w:tc>
      </w:tr>
      <w:tr w:rsidR="00F97FCE" w:rsidRPr="004A7BE9" w:rsidTr="007B30E3">
        <w:trPr>
          <w:trHeight w:val="255"/>
        </w:trPr>
        <w:tc>
          <w:tcPr>
            <w:tcW w:w="913" w:type="dxa"/>
            <w:tcBorders>
              <w:top w:val="nil"/>
              <w:left w:val="single" w:sz="8" w:space="0" w:color="92CDDC"/>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both"/>
              <w:rPr>
                <w:rFonts w:ascii="Arial" w:eastAsia="Times New Roman" w:hAnsi="Arial" w:cs="Arial"/>
                <w:color w:val="000000"/>
                <w:sz w:val="20"/>
                <w:szCs w:val="20"/>
                <w:lang w:eastAsia="pt-BR"/>
              </w:rPr>
            </w:pPr>
            <w:r w:rsidRPr="004A7BE9">
              <w:rPr>
                <w:rFonts w:ascii="Arial" w:eastAsia="Times New Roman" w:hAnsi="Arial" w:cs="Arial"/>
                <w:bCs/>
                <w:color w:val="000000"/>
                <w:sz w:val="20"/>
                <w:szCs w:val="20"/>
                <w:lang w:eastAsia="pt-BR"/>
              </w:rPr>
              <w:t>4.5.1</w:t>
            </w:r>
          </w:p>
        </w:tc>
        <w:tc>
          <w:tcPr>
            <w:tcW w:w="3543" w:type="dxa"/>
            <w:tcBorders>
              <w:top w:val="nil"/>
              <w:left w:val="nil"/>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both"/>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Transferências intragovernamentais</w:t>
            </w:r>
          </w:p>
        </w:tc>
        <w:tc>
          <w:tcPr>
            <w:tcW w:w="1417" w:type="dxa"/>
            <w:tcBorders>
              <w:top w:val="nil"/>
              <w:left w:val="nil"/>
              <w:bottom w:val="single" w:sz="8" w:space="0" w:color="92CDDC"/>
              <w:right w:val="single" w:sz="4" w:space="0" w:color="4BACC6" w:themeColor="accent5"/>
            </w:tcBorders>
          </w:tcPr>
          <w:p w:rsidR="00F97FCE" w:rsidRPr="004A7BE9" w:rsidRDefault="00F97FCE"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2.402.727,79</w:t>
            </w:r>
          </w:p>
        </w:tc>
        <w:tc>
          <w:tcPr>
            <w:tcW w:w="851" w:type="dxa"/>
            <w:tcBorders>
              <w:top w:val="nil"/>
              <w:left w:val="single" w:sz="4" w:space="0" w:color="4BACC6" w:themeColor="accent5"/>
              <w:bottom w:val="single" w:sz="8" w:space="0" w:color="92CDDC"/>
              <w:right w:val="single" w:sz="4" w:space="0" w:color="4BACC6" w:themeColor="accent5"/>
            </w:tcBorders>
          </w:tcPr>
          <w:p w:rsidR="00F97FCE" w:rsidRPr="004A7BE9"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52,97</w:t>
            </w:r>
          </w:p>
        </w:tc>
        <w:tc>
          <w:tcPr>
            <w:tcW w:w="1560" w:type="dxa"/>
            <w:tcBorders>
              <w:top w:val="nil"/>
              <w:left w:val="single" w:sz="4" w:space="0" w:color="4BACC6" w:themeColor="accent5"/>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sidRPr="004A7BE9">
              <w:rPr>
                <w:rFonts w:ascii="Arial" w:eastAsia="Times New Roman" w:hAnsi="Arial" w:cs="Arial"/>
                <w:bCs/>
                <w:color w:val="000000"/>
                <w:sz w:val="20"/>
                <w:szCs w:val="20"/>
                <w:lang w:eastAsia="pt-BR"/>
              </w:rPr>
              <w:t>2.048.874,82</w:t>
            </w:r>
          </w:p>
        </w:tc>
        <w:tc>
          <w:tcPr>
            <w:tcW w:w="992" w:type="dxa"/>
            <w:tcBorders>
              <w:top w:val="nil"/>
              <w:left w:val="nil"/>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60,60</w:t>
            </w:r>
          </w:p>
        </w:tc>
      </w:tr>
      <w:tr w:rsidR="00F97FCE" w:rsidRPr="004A7BE9" w:rsidTr="007B30E3">
        <w:trPr>
          <w:trHeight w:val="255"/>
        </w:trPr>
        <w:tc>
          <w:tcPr>
            <w:tcW w:w="913" w:type="dxa"/>
            <w:tcBorders>
              <w:top w:val="nil"/>
              <w:left w:val="single" w:sz="8" w:space="0" w:color="92CDDC"/>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both"/>
              <w:rPr>
                <w:rFonts w:ascii="Arial" w:eastAsia="Times New Roman" w:hAnsi="Arial" w:cs="Arial"/>
                <w:color w:val="000000"/>
                <w:sz w:val="20"/>
                <w:szCs w:val="20"/>
                <w:lang w:eastAsia="pt-BR"/>
              </w:rPr>
            </w:pPr>
            <w:r w:rsidRPr="004A7BE9">
              <w:rPr>
                <w:rFonts w:ascii="Arial" w:eastAsia="Times New Roman" w:hAnsi="Arial" w:cs="Arial"/>
                <w:bCs/>
                <w:color w:val="000000"/>
                <w:sz w:val="20"/>
                <w:szCs w:val="20"/>
                <w:lang w:eastAsia="pt-BR"/>
              </w:rPr>
              <w:t>4.5.2</w:t>
            </w:r>
          </w:p>
        </w:tc>
        <w:tc>
          <w:tcPr>
            <w:tcW w:w="3543" w:type="dxa"/>
            <w:tcBorders>
              <w:top w:val="nil"/>
              <w:left w:val="nil"/>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both"/>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 xml:space="preserve">Transferências </w:t>
            </w:r>
            <w:proofErr w:type="spellStart"/>
            <w:r w:rsidRPr="004A7BE9">
              <w:rPr>
                <w:rFonts w:ascii="Arial" w:eastAsia="Times New Roman" w:hAnsi="Arial" w:cs="Arial"/>
                <w:color w:val="000000"/>
                <w:sz w:val="20"/>
                <w:szCs w:val="20"/>
                <w:lang w:eastAsia="pt-BR"/>
              </w:rPr>
              <w:t>inter</w:t>
            </w:r>
            <w:proofErr w:type="spellEnd"/>
            <w:r w:rsidRPr="004A7BE9">
              <w:rPr>
                <w:rFonts w:ascii="Arial" w:eastAsia="Times New Roman" w:hAnsi="Arial" w:cs="Arial"/>
                <w:color w:val="000000"/>
                <w:sz w:val="20"/>
                <w:szCs w:val="20"/>
                <w:lang w:eastAsia="pt-BR"/>
              </w:rPr>
              <w:t xml:space="preserve"> governamentais </w:t>
            </w:r>
          </w:p>
        </w:tc>
        <w:tc>
          <w:tcPr>
            <w:tcW w:w="1417" w:type="dxa"/>
            <w:tcBorders>
              <w:top w:val="nil"/>
              <w:left w:val="nil"/>
              <w:bottom w:val="single" w:sz="8" w:space="0" w:color="92CDDC"/>
              <w:right w:val="single" w:sz="4" w:space="0" w:color="4BACC6" w:themeColor="accent5"/>
            </w:tcBorders>
            <w:shd w:val="clear" w:color="000000" w:fill="DAEEF3"/>
          </w:tcPr>
          <w:p w:rsidR="00F97FCE" w:rsidRPr="004A7BE9" w:rsidRDefault="00F97FCE"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786.417,84</w:t>
            </w:r>
          </w:p>
        </w:tc>
        <w:tc>
          <w:tcPr>
            <w:tcW w:w="851" w:type="dxa"/>
            <w:tcBorders>
              <w:top w:val="nil"/>
              <w:left w:val="single" w:sz="4" w:space="0" w:color="4BACC6" w:themeColor="accent5"/>
              <w:bottom w:val="single" w:sz="8" w:space="0" w:color="92CDDC"/>
              <w:right w:val="single" w:sz="4" w:space="0" w:color="4BACC6" w:themeColor="accent5"/>
            </w:tcBorders>
            <w:shd w:val="clear" w:color="000000" w:fill="DAEEF3"/>
          </w:tcPr>
          <w:p w:rsidR="00F97FCE" w:rsidRPr="004A7BE9"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17,34</w:t>
            </w:r>
          </w:p>
        </w:tc>
        <w:tc>
          <w:tcPr>
            <w:tcW w:w="1560"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sidRPr="004A7BE9">
              <w:rPr>
                <w:rFonts w:ascii="Arial" w:eastAsia="Times New Roman" w:hAnsi="Arial" w:cs="Arial"/>
                <w:bCs/>
                <w:color w:val="000000"/>
                <w:sz w:val="20"/>
                <w:szCs w:val="20"/>
                <w:lang w:eastAsia="pt-BR"/>
              </w:rPr>
              <w:t>810.506,15</w:t>
            </w:r>
          </w:p>
        </w:tc>
        <w:tc>
          <w:tcPr>
            <w:tcW w:w="992" w:type="dxa"/>
            <w:tcBorders>
              <w:top w:val="nil"/>
              <w:left w:val="nil"/>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23,97</w:t>
            </w:r>
          </w:p>
        </w:tc>
      </w:tr>
      <w:tr w:rsidR="00EF06B0" w:rsidRPr="004A7BE9" w:rsidTr="007B30E3">
        <w:trPr>
          <w:trHeight w:val="255"/>
        </w:trPr>
        <w:tc>
          <w:tcPr>
            <w:tcW w:w="913" w:type="dxa"/>
            <w:tcBorders>
              <w:top w:val="nil"/>
              <w:left w:val="single" w:sz="8" w:space="0" w:color="92CDDC"/>
              <w:bottom w:val="single" w:sz="8" w:space="0" w:color="92CDDC"/>
              <w:right w:val="single" w:sz="8" w:space="0" w:color="92CDDC"/>
            </w:tcBorders>
            <w:shd w:val="clear" w:color="000000" w:fill="DAEEF3"/>
            <w:vAlign w:val="center"/>
          </w:tcPr>
          <w:p w:rsidR="00EF06B0" w:rsidRPr="004A7BE9" w:rsidRDefault="00EF06B0" w:rsidP="004A7BE9">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4.6.1</w:t>
            </w:r>
          </w:p>
        </w:tc>
        <w:tc>
          <w:tcPr>
            <w:tcW w:w="3543" w:type="dxa"/>
            <w:tcBorders>
              <w:top w:val="nil"/>
              <w:left w:val="nil"/>
              <w:bottom w:val="single" w:sz="8" w:space="0" w:color="92CDDC"/>
              <w:right w:val="single" w:sz="8" w:space="0" w:color="92CDDC"/>
            </w:tcBorders>
            <w:shd w:val="clear" w:color="000000" w:fill="DAEEF3"/>
            <w:vAlign w:val="center"/>
          </w:tcPr>
          <w:p w:rsidR="00EF06B0" w:rsidRPr="004A7BE9" w:rsidRDefault="00EF06B0" w:rsidP="004A7BE9">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Reavaliação de ativos</w:t>
            </w:r>
          </w:p>
        </w:tc>
        <w:tc>
          <w:tcPr>
            <w:tcW w:w="1417" w:type="dxa"/>
            <w:tcBorders>
              <w:top w:val="nil"/>
              <w:left w:val="nil"/>
              <w:bottom w:val="single" w:sz="8" w:space="0" w:color="92CDDC"/>
              <w:right w:val="single" w:sz="4" w:space="0" w:color="4BACC6" w:themeColor="accent5"/>
            </w:tcBorders>
            <w:shd w:val="clear" w:color="000000" w:fill="DAEEF3"/>
          </w:tcPr>
          <w:p w:rsidR="00EF06B0"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632.853,31</w:t>
            </w:r>
          </w:p>
        </w:tc>
        <w:tc>
          <w:tcPr>
            <w:tcW w:w="851" w:type="dxa"/>
            <w:tcBorders>
              <w:top w:val="nil"/>
              <w:left w:val="single" w:sz="4" w:space="0" w:color="4BACC6" w:themeColor="accent5"/>
              <w:bottom w:val="single" w:sz="8" w:space="0" w:color="92CDDC"/>
              <w:right w:val="single" w:sz="4" w:space="0" w:color="4BACC6" w:themeColor="accent5"/>
            </w:tcBorders>
            <w:shd w:val="clear" w:color="000000" w:fill="DAEEF3"/>
          </w:tcPr>
          <w:p w:rsidR="00EF06B0" w:rsidRPr="004A7BE9"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13,95</w:t>
            </w:r>
          </w:p>
        </w:tc>
        <w:tc>
          <w:tcPr>
            <w:tcW w:w="1560" w:type="dxa"/>
            <w:tcBorders>
              <w:top w:val="nil"/>
              <w:left w:val="single" w:sz="4" w:space="0" w:color="4BACC6" w:themeColor="accent5"/>
              <w:bottom w:val="single" w:sz="8" w:space="0" w:color="92CDDC"/>
              <w:right w:val="single" w:sz="8" w:space="0" w:color="92CDDC"/>
            </w:tcBorders>
            <w:shd w:val="clear" w:color="000000" w:fill="DAEEF3"/>
            <w:vAlign w:val="center"/>
          </w:tcPr>
          <w:p w:rsidR="00EF06B0" w:rsidRPr="004A7BE9"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992" w:type="dxa"/>
            <w:tcBorders>
              <w:top w:val="nil"/>
              <w:left w:val="nil"/>
              <w:bottom w:val="single" w:sz="8" w:space="0" w:color="92CDDC"/>
              <w:right w:val="single" w:sz="8" w:space="0" w:color="92CDDC"/>
            </w:tcBorders>
            <w:shd w:val="clear" w:color="000000" w:fill="DAEEF3"/>
            <w:vAlign w:val="center"/>
          </w:tcPr>
          <w:p w:rsidR="00EF06B0" w:rsidRPr="004A7BE9" w:rsidRDefault="00EF06B0" w:rsidP="004A7BE9">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EF06B0" w:rsidRPr="004A7BE9" w:rsidTr="007B30E3">
        <w:trPr>
          <w:trHeight w:val="255"/>
        </w:trPr>
        <w:tc>
          <w:tcPr>
            <w:tcW w:w="913" w:type="dxa"/>
            <w:tcBorders>
              <w:top w:val="nil"/>
              <w:left w:val="single" w:sz="8" w:space="0" w:color="92CDDC"/>
              <w:bottom w:val="single" w:sz="8" w:space="0" w:color="92CDDC"/>
              <w:right w:val="single" w:sz="8" w:space="0" w:color="92CDDC"/>
            </w:tcBorders>
            <w:shd w:val="clear" w:color="000000" w:fill="DAEEF3"/>
            <w:vAlign w:val="center"/>
          </w:tcPr>
          <w:p w:rsidR="00EF06B0" w:rsidRDefault="00EF06B0" w:rsidP="004A7BE9">
            <w:pPr>
              <w:spacing w:after="0" w:line="240" w:lineRule="auto"/>
              <w:jc w:val="both"/>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4.6.4</w:t>
            </w:r>
          </w:p>
        </w:tc>
        <w:tc>
          <w:tcPr>
            <w:tcW w:w="3543" w:type="dxa"/>
            <w:tcBorders>
              <w:top w:val="nil"/>
              <w:left w:val="nil"/>
              <w:bottom w:val="single" w:sz="8" w:space="0" w:color="92CDDC"/>
              <w:right w:val="single" w:sz="8" w:space="0" w:color="92CDDC"/>
            </w:tcBorders>
            <w:shd w:val="clear" w:color="000000" w:fill="DAEEF3"/>
            <w:vAlign w:val="center"/>
          </w:tcPr>
          <w:p w:rsidR="00EF06B0" w:rsidRDefault="00EF06B0" w:rsidP="004A7BE9">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Ganhos com desincorporação de passivos</w:t>
            </w:r>
          </w:p>
        </w:tc>
        <w:tc>
          <w:tcPr>
            <w:tcW w:w="1417" w:type="dxa"/>
            <w:tcBorders>
              <w:top w:val="nil"/>
              <w:left w:val="nil"/>
              <w:bottom w:val="single" w:sz="8" w:space="0" w:color="92CDDC"/>
              <w:right w:val="single" w:sz="4" w:space="0" w:color="4BACC6" w:themeColor="accent5"/>
            </w:tcBorders>
            <w:shd w:val="clear" w:color="000000" w:fill="DAEEF3"/>
          </w:tcPr>
          <w:p w:rsidR="00EF06B0"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125,00</w:t>
            </w:r>
          </w:p>
        </w:tc>
        <w:tc>
          <w:tcPr>
            <w:tcW w:w="851" w:type="dxa"/>
            <w:tcBorders>
              <w:top w:val="nil"/>
              <w:left w:val="single" w:sz="4" w:space="0" w:color="4BACC6" w:themeColor="accent5"/>
              <w:bottom w:val="single" w:sz="8" w:space="0" w:color="92CDDC"/>
              <w:right w:val="single" w:sz="4" w:space="0" w:color="4BACC6" w:themeColor="accent5"/>
            </w:tcBorders>
            <w:shd w:val="clear" w:color="000000" w:fill="DAEEF3"/>
          </w:tcPr>
          <w:p w:rsidR="00EF06B0" w:rsidRPr="004A7BE9"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560" w:type="dxa"/>
            <w:tcBorders>
              <w:top w:val="nil"/>
              <w:left w:val="single" w:sz="4" w:space="0" w:color="4BACC6" w:themeColor="accent5"/>
              <w:bottom w:val="single" w:sz="8" w:space="0" w:color="92CDDC"/>
              <w:right w:val="single" w:sz="8" w:space="0" w:color="92CDDC"/>
            </w:tcBorders>
            <w:shd w:val="clear" w:color="000000" w:fill="DAEEF3"/>
            <w:vAlign w:val="center"/>
          </w:tcPr>
          <w:p w:rsidR="00EF06B0" w:rsidRPr="004A7BE9"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992" w:type="dxa"/>
            <w:tcBorders>
              <w:top w:val="nil"/>
              <w:left w:val="nil"/>
              <w:bottom w:val="single" w:sz="8" w:space="0" w:color="92CDDC"/>
              <w:right w:val="single" w:sz="8" w:space="0" w:color="92CDDC"/>
            </w:tcBorders>
            <w:shd w:val="clear" w:color="000000" w:fill="DAEEF3"/>
            <w:vAlign w:val="center"/>
          </w:tcPr>
          <w:p w:rsidR="00EF06B0" w:rsidRPr="004A7BE9" w:rsidRDefault="00EF06B0" w:rsidP="004A7BE9">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F97FCE" w:rsidRPr="004A7BE9" w:rsidTr="007B30E3">
        <w:trPr>
          <w:trHeight w:val="255"/>
        </w:trPr>
        <w:tc>
          <w:tcPr>
            <w:tcW w:w="913" w:type="dxa"/>
            <w:tcBorders>
              <w:top w:val="nil"/>
              <w:left w:val="single" w:sz="8" w:space="0" w:color="92CDDC"/>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both"/>
              <w:rPr>
                <w:rFonts w:ascii="Arial" w:eastAsia="Times New Roman" w:hAnsi="Arial" w:cs="Arial"/>
                <w:color w:val="000000"/>
                <w:sz w:val="20"/>
                <w:szCs w:val="20"/>
                <w:lang w:eastAsia="pt-BR"/>
              </w:rPr>
            </w:pPr>
            <w:r w:rsidRPr="004A7BE9">
              <w:rPr>
                <w:rFonts w:ascii="Arial" w:eastAsia="Times New Roman" w:hAnsi="Arial" w:cs="Arial"/>
                <w:bCs/>
                <w:color w:val="000000"/>
                <w:sz w:val="20"/>
                <w:szCs w:val="20"/>
                <w:lang w:eastAsia="pt-BR"/>
              </w:rPr>
              <w:t>4.9.9</w:t>
            </w:r>
          </w:p>
        </w:tc>
        <w:tc>
          <w:tcPr>
            <w:tcW w:w="3543" w:type="dxa"/>
            <w:tcBorders>
              <w:top w:val="nil"/>
              <w:left w:val="nil"/>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both"/>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Diversas variações patrimoniais aumentativas</w:t>
            </w:r>
          </w:p>
        </w:tc>
        <w:tc>
          <w:tcPr>
            <w:tcW w:w="1417" w:type="dxa"/>
            <w:tcBorders>
              <w:top w:val="nil"/>
              <w:left w:val="nil"/>
              <w:bottom w:val="single" w:sz="8" w:space="0" w:color="92CDDC"/>
              <w:right w:val="single" w:sz="4" w:space="0" w:color="4BACC6" w:themeColor="accent5"/>
            </w:tcBorders>
          </w:tcPr>
          <w:p w:rsidR="00F97FCE" w:rsidRPr="004A7BE9"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704.416,26</w:t>
            </w:r>
          </w:p>
        </w:tc>
        <w:tc>
          <w:tcPr>
            <w:tcW w:w="851" w:type="dxa"/>
            <w:tcBorders>
              <w:top w:val="nil"/>
              <w:left w:val="single" w:sz="4" w:space="0" w:color="4BACC6" w:themeColor="accent5"/>
              <w:bottom w:val="single" w:sz="8" w:space="0" w:color="92CDDC"/>
              <w:right w:val="single" w:sz="4" w:space="0" w:color="4BACC6" w:themeColor="accent5"/>
            </w:tcBorders>
          </w:tcPr>
          <w:p w:rsidR="00F97FCE" w:rsidRPr="004A7BE9" w:rsidRDefault="00EF06B0" w:rsidP="004A7BE9">
            <w:pPr>
              <w:spacing w:after="0" w:line="240" w:lineRule="auto"/>
              <w:jc w:val="right"/>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15,53</w:t>
            </w:r>
          </w:p>
        </w:tc>
        <w:tc>
          <w:tcPr>
            <w:tcW w:w="1560" w:type="dxa"/>
            <w:tcBorders>
              <w:top w:val="nil"/>
              <w:left w:val="single" w:sz="4" w:space="0" w:color="4BACC6" w:themeColor="accent5"/>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sidRPr="004A7BE9">
              <w:rPr>
                <w:rFonts w:ascii="Arial" w:eastAsia="Times New Roman" w:hAnsi="Arial" w:cs="Arial"/>
                <w:bCs/>
                <w:color w:val="000000"/>
                <w:sz w:val="20"/>
                <w:szCs w:val="20"/>
                <w:lang w:eastAsia="pt-BR"/>
              </w:rPr>
              <w:t>510.407,01</w:t>
            </w:r>
          </w:p>
        </w:tc>
        <w:tc>
          <w:tcPr>
            <w:tcW w:w="992" w:type="dxa"/>
            <w:tcBorders>
              <w:top w:val="nil"/>
              <w:left w:val="nil"/>
              <w:bottom w:val="single" w:sz="8" w:space="0" w:color="92CDDC"/>
              <w:right w:val="single" w:sz="8" w:space="0" w:color="92CDDC"/>
            </w:tcBorders>
            <w:shd w:val="clear" w:color="auto" w:fill="auto"/>
            <w:vAlign w:val="center"/>
            <w:hideMark/>
          </w:tcPr>
          <w:p w:rsidR="00F97FCE" w:rsidRPr="004A7BE9" w:rsidRDefault="00F97FCE" w:rsidP="004A7BE9">
            <w:pPr>
              <w:spacing w:after="0" w:line="240" w:lineRule="auto"/>
              <w:jc w:val="right"/>
              <w:rPr>
                <w:rFonts w:ascii="Arial" w:eastAsia="Times New Roman" w:hAnsi="Arial" w:cs="Arial"/>
                <w:color w:val="000000"/>
                <w:sz w:val="20"/>
                <w:szCs w:val="20"/>
                <w:lang w:eastAsia="pt-BR"/>
              </w:rPr>
            </w:pPr>
            <w:r w:rsidRPr="004A7BE9">
              <w:rPr>
                <w:rFonts w:ascii="Arial" w:eastAsia="Times New Roman" w:hAnsi="Arial" w:cs="Arial"/>
                <w:color w:val="000000"/>
                <w:sz w:val="20"/>
                <w:szCs w:val="20"/>
                <w:lang w:eastAsia="pt-BR"/>
              </w:rPr>
              <w:t>15,10</w:t>
            </w:r>
          </w:p>
        </w:tc>
      </w:tr>
      <w:tr w:rsidR="00F97FCE" w:rsidRPr="004A7BE9" w:rsidTr="007B30E3">
        <w:trPr>
          <w:trHeight w:val="255"/>
        </w:trPr>
        <w:tc>
          <w:tcPr>
            <w:tcW w:w="4456" w:type="dxa"/>
            <w:gridSpan w:val="2"/>
            <w:tcBorders>
              <w:top w:val="single" w:sz="8" w:space="0" w:color="92CDDC"/>
              <w:left w:val="single" w:sz="8" w:space="0" w:color="92CDDC"/>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both"/>
              <w:rPr>
                <w:rFonts w:ascii="Arial" w:eastAsia="Times New Roman" w:hAnsi="Arial" w:cs="Arial"/>
                <w:b/>
                <w:bCs/>
                <w:color w:val="000000"/>
                <w:sz w:val="20"/>
                <w:szCs w:val="20"/>
                <w:lang w:eastAsia="pt-BR"/>
              </w:rPr>
            </w:pPr>
            <w:r w:rsidRPr="004A7BE9">
              <w:rPr>
                <w:rFonts w:ascii="Arial" w:eastAsia="Times New Roman" w:hAnsi="Arial" w:cs="Arial"/>
                <w:b/>
                <w:bCs/>
                <w:color w:val="000000"/>
                <w:sz w:val="20"/>
                <w:szCs w:val="20"/>
                <w:lang w:eastAsia="pt-BR"/>
              </w:rPr>
              <w:t>Total</w:t>
            </w:r>
          </w:p>
        </w:tc>
        <w:tc>
          <w:tcPr>
            <w:tcW w:w="1417" w:type="dxa"/>
            <w:tcBorders>
              <w:top w:val="nil"/>
              <w:left w:val="nil"/>
              <w:bottom w:val="single" w:sz="8" w:space="0" w:color="92CDDC"/>
              <w:right w:val="single" w:sz="4" w:space="0" w:color="4BACC6" w:themeColor="accent5"/>
            </w:tcBorders>
            <w:shd w:val="clear" w:color="000000" w:fill="DAEEF3"/>
          </w:tcPr>
          <w:p w:rsidR="00F97FCE" w:rsidRPr="004A7BE9" w:rsidRDefault="00EF06B0" w:rsidP="004A7BE9">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4.536.418,94</w:t>
            </w:r>
          </w:p>
        </w:tc>
        <w:tc>
          <w:tcPr>
            <w:tcW w:w="851" w:type="dxa"/>
            <w:tcBorders>
              <w:top w:val="nil"/>
              <w:left w:val="single" w:sz="4" w:space="0" w:color="4BACC6" w:themeColor="accent5"/>
              <w:bottom w:val="single" w:sz="8" w:space="0" w:color="92CDDC"/>
              <w:right w:val="single" w:sz="4" w:space="0" w:color="4BACC6" w:themeColor="accent5"/>
            </w:tcBorders>
            <w:shd w:val="clear" w:color="000000" w:fill="DAEEF3"/>
          </w:tcPr>
          <w:p w:rsidR="00F97FCE" w:rsidRPr="004A7BE9" w:rsidRDefault="00EF06B0" w:rsidP="004A7BE9">
            <w:pPr>
              <w:spacing w:after="0" w:line="240" w:lineRule="auto"/>
              <w:jc w:val="right"/>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100,00</w:t>
            </w:r>
          </w:p>
        </w:tc>
        <w:tc>
          <w:tcPr>
            <w:tcW w:w="1560" w:type="dxa"/>
            <w:tcBorders>
              <w:top w:val="nil"/>
              <w:left w:val="single" w:sz="4" w:space="0" w:color="4BACC6" w:themeColor="accent5"/>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right"/>
              <w:rPr>
                <w:rFonts w:ascii="Arial" w:eastAsia="Times New Roman" w:hAnsi="Arial" w:cs="Arial"/>
                <w:b/>
                <w:bCs/>
                <w:color w:val="000000"/>
                <w:sz w:val="20"/>
                <w:szCs w:val="20"/>
                <w:lang w:eastAsia="pt-BR"/>
              </w:rPr>
            </w:pPr>
            <w:r w:rsidRPr="004A7BE9">
              <w:rPr>
                <w:rFonts w:ascii="Arial" w:eastAsia="Times New Roman" w:hAnsi="Arial" w:cs="Arial"/>
                <w:b/>
                <w:bCs/>
                <w:color w:val="000000"/>
                <w:sz w:val="20"/>
                <w:szCs w:val="20"/>
                <w:lang w:eastAsia="pt-BR"/>
              </w:rPr>
              <w:t>3.381.088,23</w:t>
            </w:r>
          </w:p>
        </w:tc>
        <w:tc>
          <w:tcPr>
            <w:tcW w:w="992" w:type="dxa"/>
            <w:tcBorders>
              <w:top w:val="nil"/>
              <w:left w:val="nil"/>
              <w:bottom w:val="single" w:sz="8" w:space="0" w:color="92CDDC"/>
              <w:right w:val="single" w:sz="8" w:space="0" w:color="92CDDC"/>
            </w:tcBorders>
            <w:shd w:val="clear" w:color="000000" w:fill="DAEEF3"/>
            <w:vAlign w:val="center"/>
            <w:hideMark/>
          </w:tcPr>
          <w:p w:rsidR="00F97FCE" w:rsidRPr="004A7BE9" w:rsidRDefault="00F97FCE" w:rsidP="004A7BE9">
            <w:pPr>
              <w:spacing w:after="0" w:line="240" w:lineRule="auto"/>
              <w:jc w:val="right"/>
              <w:rPr>
                <w:rFonts w:ascii="Arial" w:eastAsia="Times New Roman" w:hAnsi="Arial" w:cs="Arial"/>
                <w:b/>
                <w:bCs/>
                <w:color w:val="000000"/>
                <w:sz w:val="20"/>
                <w:szCs w:val="20"/>
                <w:lang w:eastAsia="pt-BR"/>
              </w:rPr>
            </w:pPr>
            <w:r w:rsidRPr="004A7BE9">
              <w:rPr>
                <w:rFonts w:ascii="Arial" w:eastAsia="Times New Roman" w:hAnsi="Arial" w:cs="Arial"/>
                <w:b/>
                <w:bCs/>
                <w:color w:val="000000"/>
                <w:sz w:val="20"/>
                <w:szCs w:val="20"/>
                <w:lang w:eastAsia="pt-BR"/>
              </w:rPr>
              <w:t>100,00</w:t>
            </w:r>
          </w:p>
        </w:tc>
      </w:tr>
    </w:tbl>
    <w:p w:rsidR="008A3226" w:rsidRPr="00DD0B55" w:rsidRDefault="008A3226" w:rsidP="00807064">
      <w:pPr>
        <w:autoSpaceDE w:val="0"/>
        <w:autoSpaceDN w:val="0"/>
        <w:adjustRightInd w:val="0"/>
        <w:spacing w:after="0" w:line="240" w:lineRule="auto"/>
        <w:jc w:val="both"/>
        <w:rPr>
          <w:rFonts w:ascii="Arial" w:hAnsi="Arial" w:cs="Arial"/>
        </w:rPr>
      </w:pPr>
    </w:p>
    <w:p w:rsidR="008A3226" w:rsidRDefault="008A3226" w:rsidP="00807064">
      <w:pPr>
        <w:autoSpaceDE w:val="0"/>
        <w:autoSpaceDN w:val="0"/>
        <w:adjustRightInd w:val="0"/>
        <w:spacing w:after="0" w:line="240" w:lineRule="auto"/>
        <w:jc w:val="both"/>
        <w:rPr>
          <w:rFonts w:ascii="Arial" w:hAnsi="Arial" w:cs="Arial"/>
          <w:sz w:val="24"/>
          <w:szCs w:val="24"/>
        </w:rPr>
      </w:pPr>
      <w:r w:rsidRPr="005C71BC">
        <w:rPr>
          <w:rFonts w:ascii="Arial" w:hAnsi="Arial" w:cs="Arial"/>
          <w:sz w:val="24"/>
          <w:szCs w:val="24"/>
        </w:rPr>
        <w:t xml:space="preserve">Nota-se que as transferências </w:t>
      </w:r>
      <w:r w:rsidR="00B034E3">
        <w:rPr>
          <w:rFonts w:ascii="Arial" w:hAnsi="Arial" w:cs="Arial"/>
          <w:sz w:val="24"/>
          <w:szCs w:val="24"/>
        </w:rPr>
        <w:t>int</w:t>
      </w:r>
      <w:r w:rsidR="004B05C5">
        <w:rPr>
          <w:rFonts w:ascii="Arial" w:hAnsi="Arial" w:cs="Arial"/>
          <w:sz w:val="24"/>
          <w:szCs w:val="24"/>
        </w:rPr>
        <w:t>ra</w:t>
      </w:r>
      <w:r w:rsidRPr="005C71BC">
        <w:rPr>
          <w:rFonts w:ascii="Arial" w:hAnsi="Arial" w:cs="Arial"/>
          <w:sz w:val="24"/>
          <w:szCs w:val="24"/>
        </w:rPr>
        <w:t xml:space="preserve">governamentais representam </w:t>
      </w:r>
      <w:r w:rsidR="004B05C5">
        <w:rPr>
          <w:rFonts w:ascii="Arial" w:hAnsi="Arial" w:cs="Arial"/>
          <w:sz w:val="24"/>
          <w:szCs w:val="24"/>
        </w:rPr>
        <w:t>52,97</w:t>
      </w:r>
      <w:r w:rsidRPr="005C71BC">
        <w:rPr>
          <w:rFonts w:ascii="Arial" w:hAnsi="Arial" w:cs="Arial"/>
          <w:sz w:val="24"/>
          <w:szCs w:val="24"/>
        </w:rPr>
        <w:t>%</w:t>
      </w:r>
      <w:r w:rsidR="00B034E3">
        <w:rPr>
          <w:rFonts w:ascii="Arial" w:hAnsi="Arial" w:cs="Arial"/>
          <w:sz w:val="24"/>
          <w:szCs w:val="24"/>
        </w:rPr>
        <w:t xml:space="preserve"> do total das variações</w:t>
      </w:r>
      <w:r w:rsidRPr="005C71BC">
        <w:rPr>
          <w:rFonts w:ascii="Arial" w:hAnsi="Arial" w:cs="Arial"/>
          <w:sz w:val="24"/>
          <w:szCs w:val="24"/>
        </w:rPr>
        <w:t xml:space="preserve">, o que </w:t>
      </w:r>
      <w:r w:rsidR="00B034E3">
        <w:rPr>
          <w:rFonts w:ascii="Arial" w:hAnsi="Arial" w:cs="Arial"/>
          <w:sz w:val="24"/>
          <w:szCs w:val="24"/>
        </w:rPr>
        <w:t>demonstra</w:t>
      </w:r>
      <w:r w:rsidRPr="005C71BC">
        <w:rPr>
          <w:rFonts w:ascii="Arial" w:hAnsi="Arial" w:cs="Arial"/>
          <w:sz w:val="24"/>
          <w:szCs w:val="24"/>
        </w:rPr>
        <w:t xml:space="preserve"> a entidade</w:t>
      </w:r>
      <w:r w:rsidR="00B034E3">
        <w:rPr>
          <w:rFonts w:ascii="Arial" w:hAnsi="Arial" w:cs="Arial"/>
          <w:sz w:val="24"/>
          <w:szCs w:val="24"/>
        </w:rPr>
        <w:t xml:space="preserve"> é</w:t>
      </w:r>
      <w:r w:rsidRPr="005C71BC">
        <w:rPr>
          <w:rFonts w:ascii="Arial" w:hAnsi="Arial" w:cs="Arial"/>
          <w:sz w:val="24"/>
          <w:szCs w:val="24"/>
        </w:rPr>
        <w:t xml:space="preserve"> </w:t>
      </w:r>
      <w:r w:rsidR="00B034E3">
        <w:rPr>
          <w:rFonts w:ascii="Arial" w:hAnsi="Arial" w:cs="Arial"/>
          <w:sz w:val="24"/>
          <w:szCs w:val="24"/>
        </w:rPr>
        <w:t>dependente</w:t>
      </w:r>
      <w:r w:rsidRPr="005C71BC">
        <w:rPr>
          <w:rFonts w:ascii="Arial" w:hAnsi="Arial" w:cs="Arial"/>
          <w:sz w:val="24"/>
          <w:szCs w:val="24"/>
        </w:rPr>
        <w:t xml:space="preserve"> do Governo </w:t>
      </w:r>
      <w:r w:rsidR="004B05C5">
        <w:rPr>
          <w:rFonts w:ascii="Arial" w:hAnsi="Arial" w:cs="Arial"/>
          <w:sz w:val="24"/>
          <w:szCs w:val="24"/>
        </w:rPr>
        <w:t>Municipal</w:t>
      </w:r>
      <w:r w:rsidRPr="005C71BC">
        <w:rPr>
          <w:rFonts w:ascii="Arial" w:hAnsi="Arial" w:cs="Arial"/>
          <w:sz w:val="24"/>
          <w:szCs w:val="24"/>
        </w:rPr>
        <w:t>.</w:t>
      </w:r>
    </w:p>
    <w:p w:rsidR="0077626D" w:rsidRDefault="0077626D" w:rsidP="0077626D">
      <w:pPr>
        <w:autoSpaceDE w:val="0"/>
        <w:autoSpaceDN w:val="0"/>
        <w:adjustRightInd w:val="0"/>
        <w:spacing w:after="0" w:line="240" w:lineRule="auto"/>
        <w:jc w:val="both"/>
        <w:rPr>
          <w:rFonts w:ascii="Arial" w:hAnsi="Arial" w:cs="Arial"/>
          <w:sz w:val="24"/>
          <w:szCs w:val="24"/>
        </w:rPr>
      </w:pPr>
    </w:p>
    <w:p w:rsidR="0077626D" w:rsidRDefault="0077626D" w:rsidP="007762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reavaliação positiva de ativos apresentou um montante de R$ 632.853,31, em 31 de dezembro de 2019, o que representa 13,95% das variações patrimoniais. Se deve a atualização física e contábil do patrimônio, realizada em 2019, para que os bens passassem a refletir o valor contábil </w:t>
      </w:r>
      <w:r w:rsidRPr="003D27D6">
        <w:rPr>
          <w:rFonts w:ascii="Arial" w:hAnsi="Arial" w:cs="Arial"/>
          <w:sz w:val="24"/>
          <w:szCs w:val="24"/>
        </w:rPr>
        <w:t>conforme seu valor justo, e para isso, foi utilizado de pesquisa de mercado, considerando ainda a sua data de aquisição.</w:t>
      </w:r>
      <w:r>
        <w:rPr>
          <w:rFonts w:ascii="Arial" w:hAnsi="Arial" w:cs="Arial"/>
          <w:sz w:val="24"/>
          <w:szCs w:val="24"/>
        </w:rPr>
        <w:t xml:space="preserve"> A data de corte foi 01 de dezembro de 2019.</w:t>
      </w:r>
    </w:p>
    <w:p w:rsidR="0077626D" w:rsidRDefault="0077626D"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55A6A" w:rsidRPr="00425876" w:rsidRDefault="00855A6A" w:rsidP="00855A6A">
      <w:pPr>
        <w:autoSpaceDE w:val="0"/>
        <w:autoSpaceDN w:val="0"/>
        <w:adjustRightInd w:val="0"/>
        <w:spacing w:after="0" w:line="240" w:lineRule="auto"/>
        <w:jc w:val="both"/>
        <w:rPr>
          <w:rFonts w:ascii="Arial" w:hAnsi="Arial" w:cs="Arial"/>
          <w:sz w:val="24"/>
          <w:szCs w:val="24"/>
        </w:rPr>
      </w:pPr>
      <w:r w:rsidRPr="00425876">
        <w:rPr>
          <w:rFonts w:ascii="Arial" w:hAnsi="Arial" w:cs="Arial"/>
          <w:sz w:val="24"/>
          <w:szCs w:val="24"/>
        </w:rPr>
        <w:t xml:space="preserve">As </w:t>
      </w:r>
      <w:proofErr w:type="spellStart"/>
      <w:r w:rsidRPr="00425876">
        <w:rPr>
          <w:rFonts w:ascii="Arial" w:hAnsi="Arial" w:cs="Arial"/>
          <w:sz w:val="24"/>
          <w:szCs w:val="24"/>
        </w:rPr>
        <w:t>VPAs</w:t>
      </w:r>
      <w:proofErr w:type="spellEnd"/>
      <w:r w:rsidRPr="00425876">
        <w:rPr>
          <w:rFonts w:ascii="Arial" w:hAnsi="Arial" w:cs="Arial"/>
          <w:sz w:val="24"/>
          <w:szCs w:val="24"/>
        </w:rPr>
        <w:t xml:space="preserve"> compreende</w:t>
      </w:r>
      <w:r>
        <w:rPr>
          <w:rFonts w:ascii="Arial" w:hAnsi="Arial" w:cs="Arial"/>
          <w:sz w:val="24"/>
          <w:szCs w:val="24"/>
        </w:rPr>
        <w:t>m</w:t>
      </w:r>
      <w:r w:rsidRPr="00425876">
        <w:rPr>
          <w:rFonts w:ascii="Arial" w:hAnsi="Arial" w:cs="Arial"/>
          <w:sz w:val="24"/>
          <w:szCs w:val="24"/>
        </w:rPr>
        <w:t xml:space="preserve"> o aumento no benefício econômico durante o período contábil sob a forma de entrada de recurso ou aumento de ativo ou diminuição de passivo, que resulte em aumento do patrimônio líquido.</w:t>
      </w:r>
    </w:p>
    <w:p w:rsidR="0093664A" w:rsidRDefault="0093664A" w:rsidP="00807064">
      <w:pPr>
        <w:autoSpaceDE w:val="0"/>
        <w:autoSpaceDN w:val="0"/>
        <w:adjustRightInd w:val="0"/>
        <w:spacing w:after="0" w:line="240" w:lineRule="auto"/>
        <w:rPr>
          <w:rFonts w:ascii="Arial" w:hAnsi="Arial" w:cs="Arial"/>
          <w:b/>
          <w:bCs/>
          <w:color w:val="215868" w:themeColor="accent5" w:themeShade="80"/>
          <w:sz w:val="24"/>
          <w:szCs w:val="24"/>
        </w:rPr>
      </w:pPr>
    </w:p>
    <w:p w:rsidR="00855A6A" w:rsidRDefault="00855A6A"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B300F8" w:rsidRDefault="00B300F8" w:rsidP="00807064">
      <w:pPr>
        <w:autoSpaceDE w:val="0"/>
        <w:autoSpaceDN w:val="0"/>
        <w:adjustRightInd w:val="0"/>
        <w:spacing w:after="0" w:line="240" w:lineRule="auto"/>
        <w:rPr>
          <w:rFonts w:ascii="Arial" w:hAnsi="Arial" w:cs="Arial"/>
          <w:b/>
          <w:bCs/>
          <w:color w:val="215868" w:themeColor="accent5" w:themeShade="80"/>
          <w:sz w:val="24"/>
          <w:szCs w:val="24"/>
        </w:rPr>
      </w:pPr>
    </w:p>
    <w:p w:rsidR="008A3226" w:rsidRPr="0093664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4 OUTRAS INFORMAÇÕES RELEVANTES</w:t>
      </w:r>
    </w:p>
    <w:p w:rsidR="008A3226" w:rsidRDefault="008A3226" w:rsidP="00807064">
      <w:pPr>
        <w:autoSpaceDE w:val="0"/>
        <w:autoSpaceDN w:val="0"/>
        <w:adjustRightInd w:val="0"/>
        <w:spacing w:after="0" w:line="240" w:lineRule="auto"/>
        <w:rPr>
          <w:rFonts w:ascii="Arial" w:hAnsi="Arial" w:cs="Arial"/>
          <w:color w:val="215868" w:themeColor="accent5" w:themeShade="80"/>
          <w:sz w:val="24"/>
          <w:szCs w:val="24"/>
          <w:lang w:val="es-ES_tradnl"/>
        </w:rPr>
      </w:pPr>
    </w:p>
    <w:p w:rsidR="001A008C" w:rsidRPr="001A008C" w:rsidRDefault="001A008C" w:rsidP="00807064">
      <w:pPr>
        <w:autoSpaceDE w:val="0"/>
        <w:autoSpaceDN w:val="0"/>
        <w:adjustRightInd w:val="0"/>
        <w:spacing w:after="0" w:line="240" w:lineRule="auto"/>
        <w:rPr>
          <w:rFonts w:ascii="Arial" w:hAnsi="Arial" w:cs="Arial"/>
          <w:color w:val="215868" w:themeColor="accent5" w:themeShade="80"/>
          <w:sz w:val="24"/>
          <w:szCs w:val="24"/>
          <w:lang w:val="es-ES_tradnl"/>
        </w:rPr>
      </w:pPr>
    </w:p>
    <w:p w:rsidR="008A3226" w:rsidRPr="00BB0D4A" w:rsidRDefault="008A3226" w:rsidP="00807064">
      <w:pPr>
        <w:autoSpaceDE w:val="0"/>
        <w:autoSpaceDN w:val="0"/>
        <w:adjustRightInd w:val="0"/>
        <w:spacing w:after="0" w:line="240" w:lineRule="auto"/>
        <w:jc w:val="both"/>
        <w:rPr>
          <w:rFonts w:ascii="Segoe Script" w:hAnsi="Segoe Script" w:cs="Arial"/>
          <w:b/>
          <w:color w:val="215868" w:themeColor="accent5" w:themeShade="80"/>
          <w:sz w:val="24"/>
          <w:szCs w:val="24"/>
          <w:lang w:val="es-ES_tradnl"/>
        </w:rPr>
      </w:pPr>
      <w:r w:rsidRPr="00BB0D4A">
        <w:rPr>
          <w:rFonts w:ascii="Arial" w:hAnsi="Arial" w:cs="Arial"/>
          <w:b/>
          <w:bCs/>
          <w:color w:val="215868" w:themeColor="accent5" w:themeShade="80"/>
          <w:sz w:val="24"/>
          <w:szCs w:val="24"/>
        </w:rPr>
        <w:t>4.1 Passivos contingentes e compromissos contratuais não reconhecidos</w:t>
      </w:r>
    </w:p>
    <w:p w:rsidR="008A3226" w:rsidRPr="003B59E0" w:rsidRDefault="009E120F" w:rsidP="00807064">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Fundo Municipal de Saúde</w:t>
      </w:r>
      <w:r w:rsidR="008A3226" w:rsidRPr="003B59E0">
        <w:rPr>
          <w:rFonts w:ascii="Arial" w:hAnsi="Arial" w:cs="Arial"/>
          <w:bCs/>
          <w:sz w:val="24"/>
          <w:szCs w:val="24"/>
        </w:rPr>
        <w:t xml:space="preserve"> não possui passivos contingentes e compromissos contratuais não reconhecidos.</w:t>
      </w:r>
    </w:p>
    <w:p w:rsidR="008A3226" w:rsidRDefault="008A3226" w:rsidP="001A008C">
      <w:pPr>
        <w:autoSpaceDE w:val="0"/>
        <w:autoSpaceDN w:val="0"/>
        <w:adjustRightInd w:val="0"/>
        <w:spacing w:after="0" w:line="240" w:lineRule="auto"/>
        <w:rPr>
          <w:rFonts w:ascii="Arial" w:hAnsi="Arial" w:cs="Arial"/>
          <w:b/>
          <w:color w:val="215868" w:themeColor="accent5" w:themeShade="80"/>
          <w:sz w:val="24"/>
          <w:szCs w:val="24"/>
          <w:lang w:val="es-ES_tradnl"/>
        </w:rPr>
      </w:pPr>
    </w:p>
    <w:p w:rsidR="001A008C" w:rsidRPr="001A008C" w:rsidRDefault="001A008C" w:rsidP="001A008C">
      <w:pPr>
        <w:autoSpaceDE w:val="0"/>
        <w:autoSpaceDN w:val="0"/>
        <w:adjustRightInd w:val="0"/>
        <w:spacing w:after="0" w:line="240" w:lineRule="auto"/>
        <w:rPr>
          <w:rFonts w:ascii="Arial" w:hAnsi="Arial" w:cs="Arial"/>
          <w:b/>
          <w:color w:val="215868" w:themeColor="accent5" w:themeShade="80"/>
          <w:sz w:val="24"/>
          <w:szCs w:val="24"/>
          <w:lang w:val="es-ES_tradnl"/>
        </w:rPr>
      </w:pPr>
    </w:p>
    <w:p w:rsidR="008A3226" w:rsidRPr="00BB0D4A" w:rsidRDefault="008A3226" w:rsidP="00807064">
      <w:pPr>
        <w:autoSpaceDE w:val="0"/>
        <w:autoSpaceDN w:val="0"/>
        <w:adjustRightInd w:val="0"/>
        <w:spacing w:after="0" w:line="240" w:lineRule="auto"/>
        <w:jc w:val="both"/>
        <w:rPr>
          <w:rFonts w:ascii="Arial" w:hAnsi="Arial" w:cs="Arial"/>
          <w:b/>
          <w:bCs/>
          <w:color w:val="215868" w:themeColor="accent5" w:themeShade="80"/>
          <w:sz w:val="24"/>
          <w:szCs w:val="24"/>
        </w:rPr>
      </w:pPr>
      <w:r w:rsidRPr="00BB0D4A">
        <w:rPr>
          <w:rFonts w:ascii="Arial" w:hAnsi="Arial" w:cs="Arial"/>
          <w:b/>
          <w:bCs/>
          <w:color w:val="215868" w:themeColor="accent5" w:themeShade="80"/>
          <w:sz w:val="24"/>
          <w:szCs w:val="24"/>
        </w:rPr>
        <w:t>4.2 Divulgações não financeiras, tais como: os objetivos e políticas de gestão do risco financeiro da entidade; pressupostos das estimativas</w:t>
      </w:r>
    </w:p>
    <w:p w:rsidR="008A3226" w:rsidRPr="00770D57" w:rsidRDefault="008A3226" w:rsidP="00807064">
      <w:pPr>
        <w:autoSpaceDE w:val="0"/>
        <w:autoSpaceDN w:val="0"/>
        <w:adjustRightInd w:val="0"/>
        <w:spacing w:after="0" w:line="240" w:lineRule="auto"/>
        <w:jc w:val="both"/>
        <w:rPr>
          <w:rFonts w:ascii="Arial" w:hAnsi="Arial" w:cs="Arial"/>
          <w:bCs/>
          <w:color w:val="000000" w:themeColor="text1"/>
          <w:sz w:val="24"/>
          <w:szCs w:val="24"/>
        </w:rPr>
      </w:pPr>
      <w:r w:rsidRPr="00770D57">
        <w:rPr>
          <w:rFonts w:ascii="Arial" w:hAnsi="Arial" w:cs="Arial"/>
          <w:bCs/>
          <w:color w:val="000000" w:themeColor="text1"/>
          <w:sz w:val="24"/>
          <w:szCs w:val="24"/>
        </w:rPr>
        <w:t>Não foi necessário adotar política de gestão de risco financeiro pela entidade.</w:t>
      </w:r>
    </w:p>
    <w:p w:rsidR="008A3226" w:rsidRDefault="008A3226" w:rsidP="00807064">
      <w:pPr>
        <w:autoSpaceDE w:val="0"/>
        <w:autoSpaceDN w:val="0"/>
        <w:adjustRightInd w:val="0"/>
        <w:spacing w:after="0" w:line="240" w:lineRule="auto"/>
        <w:jc w:val="both"/>
        <w:rPr>
          <w:rFonts w:ascii="Arial" w:hAnsi="Arial" w:cs="Arial"/>
          <w:bCs/>
          <w:color w:val="215868" w:themeColor="accent5" w:themeShade="80"/>
          <w:sz w:val="24"/>
          <w:szCs w:val="24"/>
        </w:rPr>
      </w:pPr>
    </w:p>
    <w:p w:rsidR="001A008C" w:rsidRDefault="001A008C" w:rsidP="00807064">
      <w:pPr>
        <w:autoSpaceDE w:val="0"/>
        <w:autoSpaceDN w:val="0"/>
        <w:adjustRightInd w:val="0"/>
        <w:spacing w:after="0" w:line="240" w:lineRule="auto"/>
        <w:jc w:val="both"/>
        <w:rPr>
          <w:rFonts w:ascii="Arial" w:hAnsi="Arial" w:cs="Arial"/>
          <w:bCs/>
          <w:color w:val="215868" w:themeColor="accent5" w:themeShade="80"/>
          <w:sz w:val="24"/>
          <w:szCs w:val="24"/>
        </w:rPr>
      </w:pPr>
    </w:p>
    <w:p w:rsidR="008A3226" w:rsidRPr="00BB0D4A" w:rsidRDefault="008A3226" w:rsidP="00807064">
      <w:pPr>
        <w:autoSpaceDE w:val="0"/>
        <w:autoSpaceDN w:val="0"/>
        <w:adjustRightInd w:val="0"/>
        <w:spacing w:after="0" w:line="240" w:lineRule="auto"/>
        <w:jc w:val="both"/>
        <w:rPr>
          <w:rFonts w:ascii="Arial" w:hAnsi="Arial" w:cs="Arial"/>
          <w:b/>
          <w:bCs/>
          <w:color w:val="215868" w:themeColor="accent5" w:themeShade="80"/>
          <w:sz w:val="24"/>
          <w:szCs w:val="24"/>
        </w:rPr>
      </w:pPr>
      <w:r w:rsidRPr="00BB0D4A">
        <w:rPr>
          <w:rFonts w:ascii="Arial" w:hAnsi="Arial" w:cs="Arial"/>
          <w:b/>
          <w:bCs/>
          <w:color w:val="215868" w:themeColor="accent5" w:themeShade="80"/>
          <w:sz w:val="24"/>
          <w:szCs w:val="24"/>
        </w:rPr>
        <w:t>4.3 Reconhecimento de inconformidades que podem afetar a compreensão do usuário sobre o desempenho e o direcionamento das operações da entidade no futuro</w:t>
      </w:r>
    </w:p>
    <w:p w:rsidR="008A3226" w:rsidRPr="0075162C" w:rsidRDefault="008A3226" w:rsidP="00807064">
      <w:pPr>
        <w:autoSpaceDE w:val="0"/>
        <w:autoSpaceDN w:val="0"/>
        <w:adjustRightInd w:val="0"/>
        <w:spacing w:after="0" w:line="240" w:lineRule="auto"/>
        <w:jc w:val="both"/>
        <w:rPr>
          <w:rFonts w:ascii="Arial" w:hAnsi="Arial" w:cs="Arial"/>
          <w:bCs/>
          <w:sz w:val="24"/>
          <w:szCs w:val="24"/>
        </w:rPr>
      </w:pPr>
      <w:r w:rsidRPr="0075162C">
        <w:rPr>
          <w:rFonts w:ascii="Arial" w:hAnsi="Arial" w:cs="Arial"/>
          <w:bCs/>
          <w:sz w:val="24"/>
          <w:szCs w:val="24"/>
        </w:rPr>
        <w:t>Não há eventos que possam afetar a compreensão do usuário quanto ao desempenho futura das operações da entidade.</w:t>
      </w:r>
    </w:p>
    <w:p w:rsidR="008A3226"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BB0D4A" w:rsidRDefault="008A3226" w:rsidP="00807064">
      <w:pPr>
        <w:autoSpaceDE w:val="0"/>
        <w:autoSpaceDN w:val="0"/>
        <w:adjustRightInd w:val="0"/>
        <w:spacing w:after="0" w:line="240" w:lineRule="auto"/>
        <w:rPr>
          <w:rFonts w:ascii="Segoe Script" w:hAnsi="Segoe Script" w:cs="Arial"/>
          <w:b/>
          <w:color w:val="215868" w:themeColor="accent5" w:themeShade="80"/>
          <w:sz w:val="26"/>
          <w:szCs w:val="26"/>
          <w:lang w:val="es-ES_tradnl"/>
        </w:rPr>
      </w:pPr>
      <w:r w:rsidRPr="00BB0D4A">
        <w:rPr>
          <w:rFonts w:ascii="Arial" w:hAnsi="Arial" w:cs="Arial"/>
          <w:b/>
          <w:bCs/>
          <w:color w:val="215868" w:themeColor="accent5" w:themeShade="80"/>
          <w:sz w:val="24"/>
          <w:szCs w:val="24"/>
        </w:rPr>
        <w:t>4.4 Ajustes decorrentes de omissões e erros de registro</w:t>
      </w:r>
    </w:p>
    <w:p w:rsidR="00D0338B" w:rsidRDefault="00D0338B" w:rsidP="00D0338B">
      <w:pPr>
        <w:spacing w:line="240" w:lineRule="auto"/>
        <w:jc w:val="both"/>
        <w:rPr>
          <w:rFonts w:ascii="Arial" w:hAnsi="Arial" w:cs="Arial"/>
          <w:bCs/>
          <w:sz w:val="24"/>
          <w:szCs w:val="24"/>
        </w:rPr>
      </w:pPr>
      <w:r>
        <w:rPr>
          <w:rFonts w:ascii="Arial" w:hAnsi="Arial" w:cs="Arial"/>
          <w:bCs/>
          <w:sz w:val="24"/>
          <w:szCs w:val="24"/>
        </w:rPr>
        <w:t xml:space="preserve">Foram realizados em 2019 ajustes patrimoniais de R$ </w:t>
      </w:r>
      <w:r w:rsidR="00C25FA7">
        <w:rPr>
          <w:rFonts w:ascii="Arial" w:hAnsi="Arial" w:cs="Arial"/>
          <w:bCs/>
          <w:sz w:val="24"/>
          <w:szCs w:val="24"/>
        </w:rPr>
        <w:t>474.883,72</w:t>
      </w:r>
      <w:r>
        <w:rPr>
          <w:rFonts w:ascii="Arial" w:hAnsi="Arial" w:cs="Arial"/>
          <w:bCs/>
          <w:sz w:val="24"/>
          <w:szCs w:val="24"/>
        </w:rPr>
        <w:t xml:space="preserve"> decorrentes de </w:t>
      </w:r>
      <w:r w:rsidR="00855A6A">
        <w:rPr>
          <w:rFonts w:ascii="Arial" w:hAnsi="Arial" w:cs="Arial"/>
          <w:bCs/>
          <w:sz w:val="24"/>
          <w:szCs w:val="24"/>
        </w:rPr>
        <w:t>atualização pelo</w:t>
      </w:r>
      <w:r>
        <w:rPr>
          <w:rFonts w:ascii="Arial" w:hAnsi="Arial" w:cs="Arial"/>
          <w:bCs/>
          <w:sz w:val="24"/>
          <w:szCs w:val="24"/>
        </w:rPr>
        <w:t xml:space="preserve"> levantamento físico </w:t>
      </w:r>
      <w:r w:rsidR="00855A6A">
        <w:rPr>
          <w:rFonts w:ascii="Arial" w:hAnsi="Arial" w:cs="Arial"/>
          <w:bCs/>
          <w:sz w:val="24"/>
          <w:szCs w:val="24"/>
        </w:rPr>
        <w:t xml:space="preserve">e contábil </w:t>
      </w:r>
      <w:r>
        <w:rPr>
          <w:rFonts w:ascii="Arial" w:hAnsi="Arial" w:cs="Arial"/>
          <w:bCs/>
          <w:sz w:val="24"/>
          <w:szCs w:val="24"/>
        </w:rPr>
        <w:t xml:space="preserve">realizado no </w:t>
      </w:r>
      <w:r w:rsidR="00855A6A">
        <w:rPr>
          <w:rFonts w:ascii="Arial" w:hAnsi="Arial" w:cs="Arial"/>
          <w:bCs/>
          <w:sz w:val="24"/>
          <w:szCs w:val="24"/>
        </w:rPr>
        <w:t>exercício</w:t>
      </w:r>
      <w:r>
        <w:rPr>
          <w:rFonts w:ascii="Arial" w:hAnsi="Arial" w:cs="Arial"/>
          <w:bCs/>
          <w:sz w:val="24"/>
          <w:szCs w:val="24"/>
        </w:rPr>
        <w:t>.</w:t>
      </w:r>
    </w:p>
    <w:p w:rsidR="00855A6A" w:rsidRDefault="00855A6A"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855A6A" w:rsidRDefault="007530C5" w:rsidP="00D0338B">
      <w:pPr>
        <w:spacing w:line="240" w:lineRule="auto"/>
        <w:jc w:val="both"/>
        <w:rPr>
          <w:rFonts w:ascii="Arial" w:hAnsi="Arial" w:cs="Arial"/>
          <w:bCs/>
          <w:sz w:val="24"/>
          <w:szCs w:val="24"/>
        </w:rPr>
      </w:pPr>
      <w:r>
        <w:rPr>
          <w:rFonts w:ascii="Arial" w:hAnsi="Arial" w:cs="Arial"/>
          <w:bCs/>
          <w:sz w:val="24"/>
          <w:szCs w:val="24"/>
        </w:rPr>
        <w:t>7</w:t>
      </w:r>
    </w:p>
    <w:p w:rsidR="007530C5" w:rsidRDefault="007530C5" w:rsidP="00D0338B">
      <w:pPr>
        <w:spacing w:line="240" w:lineRule="auto"/>
        <w:jc w:val="both"/>
        <w:rPr>
          <w:rFonts w:ascii="Arial" w:hAnsi="Arial" w:cs="Arial"/>
          <w:bCs/>
          <w:sz w:val="24"/>
          <w:szCs w:val="24"/>
        </w:rPr>
      </w:pPr>
    </w:p>
    <w:p w:rsidR="007530C5" w:rsidRDefault="007530C5" w:rsidP="00D0338B">
      <w:pPr>
        <w:spacing w:line="240" w:lineRule="auto"/>
        <w:jc w:val="both"/>
        <w:rPr>
          <w:rFonts w:ascii="Arial" w:hAnsi="Arial" w:cs="Arial"/>
          <w:bCs/>
          <w:sz w:val="24"/>
          <w:szCs w:val="24"/>
        </w:rPr>
      </w:pPr>
    </w:p>
    <w:p w:rsidR="007530C5" w:rsidRDefault="007530C5" w:rsidP="00D0338B">
      <w:pPr>
        <w:spacing w:line="240" w:lineRule="auto"/>
        <w:jc w:val="both"/>
        <w:rPr>
          <w:rFonts w:ascii="Arial" w:hAnsi="Arial" w:cs="Arial"/>
          <w:bCs/>
          <w:sz w:val="24"/>
          <w:szCs w:val="24"/>
        </w:rPr>
      </w:pPr>
    </w:p>
    <w:p w:rsidR="007530C5" w:rsidRDefault="007530C5" w:rsidP="00D0338B">
      <w:pPr>
        <w:spacing w:line="240" w:lineRule="auto"/>
        <w:jc w:val="both"/>
        <w:rPr>
          <w:rFonts w:ascii="Arial" w:hAnsi="Arial" w:cs="Arial"/>
          <w:bCs/>
          <w:sz w:val="24"/>
          <w:szCs w:val="24"/>
        </w:rPr>
      </w:pPr>
    </w:p>
    <w:p w:rsidR="00855A6A" w:rsidRDefault="00855A6A" w:rsidP="00D0338B">
      <w:pPr>
        <w:spacing w:line="240" w:lineRule="auto"/>
        <w:jc w:val="both"/>
        <w:rPr>
          <w:rFonts w:ascii="Arial" w:hAnsi="Arial" w:cs="Arial"/>
          <w:bCs/>
          <w:sz w:val="24"/>
          <w:szCs w:val="24"/>
        </w:rPr>
      </w:pPr>
    </w:p>
    <w:p w:rsidR="008A3226" w:rsidRPr="00770D57" w:rsidRDefault="008A3226" w:rsidP="00AB5761">
      <w:pPr>
        <w:autoSpaceDE w:val="0"/>
        <w:autoSpaceDN w:val="0"/>
        <w:adjustRightInd w:val="0"/>
        <w:spacing w:line="240" w:lineRule="auto"/>
        <w:ind w:left="1418" w:right="1417"/>
        <w:jc w:val="center"/>
        <w:rPr>
          <w:rFonts w:ascii="Bahnschrift" w:hAnsi="Bahnschrift" w:cs="Arial"/>
          <w:b/>
          <w:bCs/>
          <w:color w:val="C00000"/>
          <w:sz w:val="28"/>
          <w:szCs w:val="28"/>
        </w:rPr>
      </w:pPr>
      <w:r w:rsidRPr="00770D57">
        <w:rPr>
          <w:rFonts w:ascii="Bahnschrift" w:hAnsi="Bahnschrift" w:cs="Arial"/>
          <w:b/>
          <w:bCs/>
          <w:color w:val="C00000"/>
          <w:sz w:val="28"/>
          <w:szCs w:val="28"/>
        </w:rPr>
        <w:lastRenderedPageBreak/>
        <w:t>NOTAS EXPLICATIVAS DO BALANÇO 201</w:t>
      </w:r>
      <w:r w:rsidR="008A7EBA">
        <w:rPr>
          <w:rFonts w:ascii="Bahnschrift" w:hAnsi="Bahnschrift" w:cs="Arial"/>
          <w:b/>
          <w:bCs/>
          <w:color w:val="C00000"/>
          <w:sz w:val="28"/>
          <w:szCs w:val="28"/>
        </w:rPr>
        <w:t>9</w:t>
      </w:r>
    </w:p>
    <w:p w:rsidR="000D6CF1" w:rsidRPr="00AB5761" w:rsidRDefault="000D6CF1" w:rsidP="00AB5761">
      <w:pPr>
        <w:autoSpaceDE w:val="0"/>
        <w:autoSpaceDN w:val="0"/>
        <w:adjustRightInd w:val="0"/>
        <w:spacing w:line="240" w:lineRule="auto"/>
        <w:ind w:left="1418" w:right="1417"/>
        <w:jc w:val="center"/>
        <w:rPr>
          <w:rFonts w:ascii="Bahnschrift" w:hAnsi="Bahnschrift" w:cs="Arial"/>
          <w:b/>
          <w:bCs/>
          <w:color w:val="C00000"/>
          <w:sz w:val="28"/>
          <w:szCs w:val="28"/>
        </w:rPr>
      </w:pPr>
    </w:p>
    <w:p w:rsidR="005A4F32" w:rsidRPr="00591FF0"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0D6CF1">
        <w:rPr>
          <w:rFonts w:ascii="Arial" w:hAnsi="Arial" w:cs="Arial"/>
          <w:color w:val="808080" w:themeColor="background1" w:themeShade="80"/>
          <w:sz w:val="24"/>
          <w:szCs w:val="24"/>
        </w:rPr>
        <w:t>Notas explicativas são informações adicionais às apresentadas nos quadros das DCASP. São consideradas parte integrante das demonstrações.</w:t>
      </w:r>
    </w:p>
    <w:p w:rsidR="005A4F32" w:rsidRPr="000D6CF1"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0D6CF1">
        <w:rPr>
          <w:rFonts w:ascii="Arial" w:hAnsi="Arial" w:cs="Arial"/>
          <w:color w:val="808080" w:themeColor="background1" w:themeShade="80"/>
          <w:sz w:val="24"/>
          <w:szCs w:val="24"/>
        </w:rPr>
        <w:t>Seu objetivo é facilitar a compreensão das demonstrações contábeis a seus diversos usuários. Portanto, devem ser claras, sintéticas e objetivas.</w:t>
      </w:r>
    </w:p>
    <w:p w:rsidR="005A4F32" w:rsidRPr="000D6CF1" w:rsidRDefault="005A4F32"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0D6CF1">
        <w:rPr>
          <w:rFonts w:ascii="Arial" w:hAnsi="Arial" w:cs="Arial"/>
          <w:color w:val="808080" w:themeColor="background1" w:themeShade="80"/>
          <w:sz w:val="24"/>
          <w:szCs w:val="24"/>
        </w:rPr>
        <w:t xml:space="preserve"> Englobam informações de qualquer natureza exigidas pela lei, pelas normas contábeis e outras informações relevantes não suficientemente evidenciadas ou que não constam nas demonstrações.</w:t>
      </w:r>
    </w:p>
    <w:p w:rsidR="000D6CF1" w:rsidRPr="00295397"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5625A" w:rsidRPr="00770D57" w:rsidRDefault="00770D57" w:rsidP="00770D57">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r w:rsidRPr="004D1052">
        <w:rPr>
          <w:rFonts w:ascii="Bahnschrift" w:hAnsi="Bahnschrift" w:cs="Arial"/>
          <w:b/>
          <w:bCs/>
          <w:color w:val="984806" w:themeColor="accent6" w:themeShade="80"/>
          <w:sz w:val="28"/>
          <w:szCs w:val="28"/>
        </w:rPr>
        <w:t>BASE DE ELABORAÇÃO E APRESENTAÇÃO DAS DEMONSTRAÇÕES CONTÁBEIS</w:t>
      </w:r>
    </w:p>
    <w:p w:rsidR="0005625A"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As Demonstrações Contábeis consolidadas deste Relatório Técnico foram elaboradas com base nos dados extraídos no sistema informatizado d</w:t>
      </w:r>
      <w:r w:rsidR="00603641">
        <w:rPr>
          <w:rFonts w:ascii="Arial" w:hAnsi="Arial" w:cs="Arial"/>
          <w:color w:val="808080" w:themeColor="background1" w:themeShade="80"/>
          <w:sz w:val="24"/>
          <w:szCs w:val="24"/>
        </w:rPr>
        <w:t>o Fundo Municipal de Saúde</w:t>
      </w:r>
      <w:r w:rsidR="00AB5761" w:rsidRPr="00591FF0">
        <w:rPr>
          <w:rFonts w:ascii="Arial" w:hAnsi="Arial" w:cs="Arial"/>
          <w:color w:val="808080" w:themeColor="background1" w:themeShade="80"/>
          <w:sz w:val="24"/>
          <w:szCs w:val="24"/>
        </w:rPr>
        <w:t>.</w:t>
      </w:r>
    </w:p>
    <w:p w:rsidR="00394DDE" w:rsidRPr="00591FF0" w:rsidRDefault="00394DDE"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Eventualmente os Demonstrativos podem apresentar algumas divergências entre os layouts utilizados pelo sistema informatizado do Fundo Municipal de Saúde o do Tribunal de Contas do Estado de Santa Catarina.</w:t>
      </w:r>
    </w:p>
    <w:p w:rsidR="0005625A"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São compostas pelo Balanço Orçamentário, Balanço Financeiro e Balanço Patrimonial, e também pela Demonstração das Variações Patrimoniais</w:t>
      </w:r>
      <w:r w:rsidR="00AB5761" w:rsidRPr="00591FF0">
        <w:rPr>
          <w:rFonts w:ascii="Arial" w:hAnsi="Arial" w:cs="Arial"/>
          <w:color w:val="808080" w:themeColor="background1" w:themeShade="80"/>
          <w:sz w:val="24"/>
          <w:szCs w:val="24"/>
        </w:rPr>
        <w:t xml:space="preserve">, </w:t>
      </w:r>
      <w:r w:rsidRPr="00591FF0">
        <w:rPr>
          <w:rFonts w:ascii="Arial" w:hAnsi="Arial" w:cs="Arial"/>
          <w:color w:val="808080" w:themeColor="background1" w:themeShade="80"/>
          <w:sz w:val="24"/>
          <w:szCs w:val="24"/>
        </w:rPr>
        <w:t>D</w:t>
      </w:r>
      <w:r w:rsidR="00AB5761" w:rsidRPr="00591FF0">
        <w:rPr>
          <w:rFonts w:ascii="Arial" w:hAnsi="Arial" w:cs="Arial"/>
          <w:color w:val="808080" w:themeColor="background1" w:themeShade="80"/>
          <w:sz w:val="24"/>
          <w:szCs w:val="24"/>
        </w:rPr>
        <w:t>emonstração dos Fluxos de Caixa e Demonstração das Mutações do Patrimônio Líquido.</w:t>
      </w:r>
    </w:p>
    <w:p w:rsidR="0005625A"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 xml:space="preserve">Essas demonstrações foram elaboradas de acordo com as orientações do Manual de Contabilidade Aplicada ao Setor Público, </w:t>
      </w:r>
      <w:r w:rsidR="00855A6A">
        <w:rPr>
          <w:rFonts w:ascii="Arial" w:hAnsi="Arial" w:cs="Arial"/>
          <w:color w:val="808080" w:themeColor="background1" w:themeShade="80"/>
          <w:sz w:val="24"/>
          <w:szCs w:val="24"/>
        </w:rPr>
        <w:t>8</w:t>
      </w:r>
      <w:r w:rsidRPr="00591FF0">
        <w:rPr>
          <w:rFonts w:ascii="Arial" w:hAnsi="Arial" w:cs="Arial"/>
          <w:color w:val="808080" w:themeColor="background1" w:themeShade="80"/>
          <w:sz w:val="24"/>
          <w:szCs w:val="24"/>
        </w:rPr>
        <w:t>ª edição, que observa os dispositivos legais que regulam o assunto, como a Lei nº 4.320/1964, a Lei Complementar nº 101/2000 e, também, as disposições do Conselho Federal de Contabilidade, assim como as Normas Brasileiras de Contabilidade Aplicadas ao Setor Público.</w:t>
      </w:r>
      <w:r w:rsidR="005A4F32" w:rsidRPr="00591FF0">
        <w:rPr>
          <w:rFonts w:ascii="Arial" w:hAnsi="Arial" w:cs="Arial"/>
          <w:color w:val="808080" w:themeColor="background1" w:themeShade="80"/>
          <w:sz w:val="24"/>
          <w:szCs w:val="24"/>
        </w:rPr>
        <w:t xml:space="preserve"> </w:t>
      </w:r>
      <w:r w:rsidRPr="00591FF0">
        <w:rPr>
          <w:rFonts w:ascii="Arial" w:hAnsi="Arial" w:cs="Arial"/>
          <w:color w:val="808080" w:themeColor="background1" w:themeShade="80"/>
          <w:sz w:val="24"/>
          <w:szCs w:val="24"/>
        </w:rPr>
        <w:t xml:space="preserve">Desde a adoção do novo PCASP, em 2015, foi realizado grande esforço da equipe técnica, para implantação de controles e procedimentos contábeis, </w:t>
      </w:r>
      <w:r w:rsidRPr="00591FF0">
        <w:rPr>
          <w:rFonts w:ascii="Arial" w:hAnsi="Arial" w:cs="Arial"/>
          <w:color w:val="808080" w:themeColor="background1" w:themeShade="80"/>
          <w:sz w:val="24"/>
          <w:szCs w:val="24"/>
        </w:rPr>
        <w:lastRenderedPageBreak/>
        <w:t>entre eles, estão: a reavaliação patrimonial (bens móveis, imóveis e intangíveis); registro contábil da depreciação; apropriação de despesas pagas antecipadamente; e o controle de estoque.</w:t>
      </w:r>
    </w:p>
    <w:p w:rsidR="0005625A"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As Notas Explicativas fazem parte das Demonstrações Contábeis e contêm informações relevantes, complementares ou suplementares àquelas não suficientemente evidenciadas ou não constantes nas demonstrações contábeis. Nas Notas Explicativas estão incluídos os critérios utilizados na elaboração das demonstrações contábeis, as informações de naturezas patrimonial, orçamentária, legal e de desempenho, bem como outros eventos não suficientemente evidenciados ou não constantes nas referidas demonstrações.</w:t>
      </w: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EF06B0"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r>
        <w:rPr>
          <w:rFonts w:ascii="Arial" w:hAnsi="Arial" w:cs="Arial"/>
          <w:b/>
          <w:noProof/>
          <w:color w:val="A6A6A6" w:themeColor="background1" w:themeShade="A6"/>
          <w:sz w:val="24"/>
          <w:szCs w:val="24"/>
          <w:lang w:eastAsia="pt-BR"/>
        </w:rPr>
        <mc:AlternateContent>
          <mc:Choice Requires="wps">
            <w:drawing>
              <wp:anchor distT="0" distB="0" distL="114300" distR="114300" simplePos="0" relativeHeight="251659264" behindDoc="0" locked="0" layoutInCell="1" allowOverlap="1" wp14:anchorId="248214E7" wp14:editId="2D689565">
                <wp:simplePos x="0" y="0"/>
                <wp:positionH relativeFrom="column">
                  <wp:posOffset>1224915</wp:posOffset>
                </wp:positionH>
                <wp:positionV relativeFrom="paragraph">
                  <wp:posOffset>-209550</wp:posOffset>
                </wp:positionV>
                <wp:extent cx="4600575" cy="3733800"/>
                <wp:effectExtent l="0" t="0" r="9525"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0575" cy="3733800"/>
                        </a:xfrm>
                        <a:prstGeom prst="ellipse">
                          <a:avLst/>
                        </a:prstGeom>
                        <a:ln>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7349F9" w:rsidRPr="000D6CF1" w:rsidRDefault="007349F9" w:rsidP="000D6CF1">
                            <w:pPr>
                              <w:autoSpaceDE w:val="0"/>
                              <w:autoSpaceDN w:val="0"/>
                              <w:adjustRightInd w:val="0"/>
                              <w:spacing w:line="240" w:lineRule="auto"/>
                              <w:jc w:val="right"/>
                              <w:rPr>
                                <w:rFonts w:ascii="Arial" w:hAnsi="Arial" w:cs="Arial"/>
                                <w:b/>
                                <w:i/>
                                <w:color w:val="FFFFFF" w:themeColor="background1"/>
                                <w:sz w:val="32"/>
                                <w:szCs w:val="32"/>
                              </w:rPr>
                            </w:pPr>
                            <w:r w:rsidRPr="000D6CF1">
                              <w:rPr>
                                <w:rFonts w:ascii="Arial" w:hAnsi="Arial" w:cs="Arial"/>
                                <w:b/>
                                <w:i/>
                                <w:color w:val="FFFFFF" w:themeColor="background1"/>
                                <w:sz w:val="32"/>
                                <w:szCs w:val="32"/>
                              </w:rPr>
                              <w:t>Nas páginas a seguir você é convidado a acompanhar os resultados da gestão orçamentária, financeira e patrimonial por meio da análise dos Demonstrativos Contábeis do exercício de 201</w:t>
                            </w:r>
                            <w:r>
                              <w:rPr>
                                <w:rFonts w:ascii="Arial" w:hAnsi="Arial" w:cs="Arial"/>
                                <w:b/>
                                <w:i/>
                                <w:color w:val="FFFFFF" w:themeColor="background1"/>
                                <w:sz w:val="32"/>
                                <w:szCs w:val="32"/>
                              </w:rPr>
                              <w:t>9</w:t>
                            </w:r>
                            <w:r w:rsidRPr="000D6CF1">
                              <w:rPr>
                                <w:rFonts w:ascii="Arial" w:hAnsi="Arial" w:cs="Arial"/>
                                <w:b/>
                                <w:i/>
                                <w:color w:val="FFFFFF" w:themeColor="background1"/>
                                <w:sz w:val="32"/>
                                <w:szCs w:val="32"/>
                              </w:rPr>
                              <w:t xml:space="preserve"> e das Notas Explicativas relacionadas.</w:t>
                            </w:r>
                          </w:p>
                          <w:p w:rsidR="007349F9" w:rsidRPr="000D6CF1" w:rsidRDefault="007349F9" w:rsidP="000D6CF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 o:spid="_x0000_s1027" style="position:absolute;left:0;text-align:left;margin-left:96.45pt;margin-top:-16.5pt;width:362.2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" fillcolor="#4bacc6 [3208]" strokecolor="white [3212]" strokeweight="2pt">
                <v:path arrowok="t"/>
                <v:textbox>
                  <w:txbxContent>
                    <w:p w:rsidR="007349F9" w:rsidRPr="000D6CF1" w:rsidRDefault="007349F9" w:rsidP="000D6CF1">
                      <w:pPr>
                        <w:autoSpaceDE w:val="0"/>
                        <w:autoSpaceDN w:val="0"/>
                        <w:adjustRightInd w:val="0"/>
                        <w:spacing w:line="240" w:lineRule="auto"/>
                        <w:jc w:val="right"/>
                        <w:rPr>
                          <w:rFonts w:ascii="Arial" w:hAnsi="Arial" w:cs="Arial"/>
                          <w:b/>
                          <w:i/>
                          <w:color w:val="FFFFFF" w:themeColor="background1"/>
                          <w:sz w:val="32"/>
                          <w:szCs w:val="32"/>
                        </w:rPr>
                      </w:pPr>
                      <w:r w:rsidRPr="000D6CF1">
                        <w:rPr>
                          <w:rFonts w:ascii="Arial" w:hAnsi="Arial" w:cs="Arial"/>
                          <w:b/>
                          <w:i/>
                          <w:color w:val="FFFFFF" w:themeColor="background1"/>
                          <w:sz w:val="32"/>
                          <w:szCs w:val="32"/>
                        </w:rPr>
                        <w:t>Nas páginas a seguir você é convidado a acompanhar os resultados da gestão orçamentária, financeira e patrimonial por meio da análise dos Demonstrativos Contábeis do exercício de 201</w:t>
                      </w:r>
                      <w:r>
                        <w:rPr>
                          <w:rFonts w:ascii="Arial" w:hAnsi="Arial" w:cs="Arial"/>
                          <w:b/>
                          <w:i/>
                          <w:color w:val="FFFFFF" w:themeColor="background1"/>
                          <w:sz w:val="32"/>
                          <w:szCs w:val="32"/>
                        </w:rPr>
                        <w:t>9</w:t>
                      </w:r>
                      <w:r w:rsidRPr="000D6CF1">
                        <w:rPr>
                          <w:rFonts w:ascii="Arial" w:hAnsi="Arial" w:cs="Arial"/>
                          <w:b/>
                          <w:i/>
                          <w:color w:val="FFFFFF" w:themeColor="background1"/>
                          <w:sz w:val="32"/>
                          <w:szCs w:val="32"/>
                        </w:rPr>
                        <w:t xml:space="preserve"> e das Notas Explicativas relacionadas.</w:t>
                      </w:r>
                    </w:p>
                    <w:p w:rsidR="007349F9" w:rsidRPr="000D6CF1" w:rsidRDefault="007349F9" w:rsidP="000D6CF1">
                      <w:pPr>
                        <w:jc w:val="center"/>
                        <w:rPr>
                          <w:color w:val="FFFFFF" w:themeColor="background1"/>
                        </w:rPr>
                      </w:pPr>
                    </w:p>
                  </w:txbxContent>
                </v:textbox>
              </v:oval>
            </w:pict>
          </mc:Fallback>
        </mc:AlternateContent>
      </w:r>
    </w:p>
    <w:p w:rsidR="000D6CF1" w:rsidRPr="0005625A"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Default="000D6CF1" w:rsidP="00AB5761">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0D6CF1" w:rsidRPr="000D6CF1"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5625A"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Sempre que possível, as informações apresentadas nesta prestação de contas são descritas em linguagem clara e acessível, de maneira que todos possam compreender como foram utilizados os recursos públicos no período. O objetivo principal dessa ação não é o de somente cumprir uma obrigação legal, mas o de oportunizar e ampliar os canais de comu</w:t>
      </w:r>
      <w:r w:rsidRPr="00591FF0">
        <w:rPr>
          <w:rFonts w:ascii="Arial" w:hAnsi="Arial" w:cs="Arial"/>
          <w:color w:val="808080" w:themeColor="background1" w:themeShade="80"/>
          <w:sz w:val="24"/>
          <w:szCs w:val="24"/>
        </w:rPr>
        <w:softHyphen/>
        <w:t xml:space="preserve">nicação entre a população e o Governo Municipal, transformando dados complexos em </w:t>
      </w:r>
      <w:r w:rsidRPr="00591FF0">
        <w:rPr>
          <w:rFonts w:ascii="Arial" w:hAnsi="Arial" w:cs="Arial"/>
          <w:color w:val="808080" w:themeColor="background1" w:themeShade="80"/>
          <w:sz w:val="24"/>
          <w:szCs w:val="24"/>
        </w:rPr>
        <w:lastRenderedPageBreak/>
        <w:t>informações compreensíveis. Desse modo, queremos dina</w:t>
      </w:r>
      <w:r w:rsidRPr="00591FF0">
        <w:rPr>
          <w:rFonts w:ascii="Arial" w:hAnsi="Arial" w:cs="Arial"/>
          <w:color w:val="808080" w:themeColor="background1" w:themeShade="80"/>
          <w:sz w:val="24"/>
          <w:szCs w:val="24"/>
        </w:rPr>
        <w:softHyphen/>
        <w:t>mizar o controle social para propiciar que a sociedade esteja mais ciente das ações do Governo Municipal.</w:t>
      </w:r>
    </w:p>
    <w:p w:rsidR="000D6CF1"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 xml:space="preserve">A missão cabe ao Setor de Contabilidade, responsável por organizar e consolidar os dados contábeis, oriundos do sistema informatizado de contabilidade e dos atos de gestão do Governo Municipal. </w:t>
      </w:r>
    </w:p>
    <w:p w:rsidR="000D6CF1"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A contabilidade atua como o interlocutor entre o poder público e a so</w:t>
      </w:r>
      <w:r w:rsidRPr="00591FF0">
        <w:rPr>
          <w:rFonts w:ascii="Arial" w:hAnsi="Arial" w:cs="Arial"/>
          <w:color w:val="808080" w:themeColor="background1" w:themeShade="80"/>
          <w:sz w:val="24"/>
          <w:szCs w:val="24"/>
        </w:rPr>
        <w:softHyphen/>
        <w:t xml:space="preserve">ciedade. Assim, transforma os dados em informações úteis tanto para a tomada de decisões dos gestores públicos como para os cidadãos, de tal maneira que estes possam acompanhar a arrecadação e as despesas do Governo. </w:t>
      </w:r>
    </w:p>
    <w:p w:rsidR="000D6CF1"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D6CF1" w:rsidRPr="000D6CF1" w:rsidRDefault="0005625A" w:rsidP="000D6CF1">
      <w:pPr>
        <w:tabs>
          <w:tab w:val="left" w:pos="7655"/>
        </w:tabs>
        <w:autoSpaceDE w:val="0"/>
        <w:autoSpaceDN w:val="0"/>
        <w:adjustRightInd w:val="0"/>
        <w:spacing w:line="240" w:lineRule="auto"/>
        <w:ind w:left="1418" w:right="1417"/>
        <w:jc w:val="both"/>
        <w:rPr>
          <w:rFonts w:ascii="Arial" w:hAnsi="Arial" w:cs="Arial"/>
          <w:color w:val="215868" w:themeColor="accent5" w:themeShade="80"/>
          <w:sz w:val="24"/>
          <w:szCs w:val="24"/>
        </w:rPr>
      </w:pPr>
      <w:r w:rsidRPr="000D6CF1">
        <w:rPr>
          <w:rFonts w:ascii="Arial" w:hAnsi="Arial" w:cs="Arial"/>
          <w:i/>
          <w:color w:val="215868" w:themeColor="accent5" w:themeShade="80"/>
          <w:sz w:val="24"/>
          <w:szCs w:val="24"/>
        </w:rPr>
        <w:t>Esse papel se revela fundamental para a promoção da cidadania plena. Acreditamos que ela só será atingida quando gestores e adminis</w:t>
      </w:r>
      <w:r w:rsidRPr="000D6CF1">
        <w:rPr>
          <w:rFonts w:ascii="Arial" w:hAnsi="Arial" w:cs="Arial"/>
          <w:i/>
          <w:color w:val="215868" w:themeColor="accent5" w:themeShade="80"/>
          <w:sz w:val="24"/>
          <w:szCs w:val="24"/>
        </w:rPr>
        <w:softHyphen/>
        <w:t>trados tiverem posições simétricas relativas às informações advindas do setor público.</w:t>
      </w:r>
      <w:r w:rsidRPr="000D6CF1">
        <w:rPr>
          <w:rFonts w:ascii="Arial" w:hAnsi="Arial" w:cs="Arial"/>
          <w:color w:val="215868" w:themeColor="accent5" w:themeShade="80"/>
          <w:sz w:val="24"/>
          <w:szCs w:val="24"/>
        </w:rPr>
        <w:t xml:space="preserve"> </w:t>
      </w:r>
      <w:r w:rsidRPr="000D6CF1">
        <w:rPr>
          <w:rFonts w:ascii="Arial" w:hAnsi="Arial" w:cs="Arial"/>
          <w:i/>
          <w:color w:val="215868" w:themeColor="accent5" w:themeShade="80"/>
          <w:sz w:val="24"/>
          <w:szCs w:val="24"/>
        </w:rPr>
        <w:t>Em outras palavras, quando um número deixar de ser so</w:t>
      </w:r>
      <w:r w:rsidRPr="000D6CF1">
        <w:rPr>
          <w:rFonts w:ascii="Arial" w:hAnsi="Arial" w:cs="Arial"/>
          <w:i/>
          <w:color w:val="215868" w:themeColor="accent5" w:themeShade="80"/>
          <w:sz w:val="24"/>
          <w:szCs w:val="24"/>
        </w:rPr>
        <w:softHyphen/>
        <w:t>mente um número e fornecer uma perspectiva de análise e julgamento da ação governamental.</w:t>
      </w:r>
      <w:r w:rsidRPr="000D6CF1">
        <w:rPr>
          <w:rFonts w:ascii="Arial" w:hAnsi="Arial" w:cs="Arial"/>
          <w:color w:val="215868" w:themeColor="accent5" w:themeShade="80"/>
          <w:sz w:val="24"/>
          <w:szCs w:val="24"/>
        </w:rPr>
        <w:t xml:space="preserve"> </w:t>
      </w:r>
    </w:p>
    <w:p w:rsidR="000D6CF1" w:rsidRDefault="000D6CF1" w:rsidP="00AB5761">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05625A" w:rsidRPr="00591FF0" w:rsidRDefault="0005625A" w:rsidP="00AB5761">
      <w:pPr>
        <w:autoSpaceDE w:val="0"/>
        <w:autoSpaceDN w:val="0"/>
        <w:adjustRightInd w:val="0"/>
        <w:spacing w:line="240" w:lineRule="auto"/>
        <w:ind w:left="1418" w:right="1417"/>
        <w:jc w:val="both"/>
        <w:rPr>
          <w:rFonts w:ascii="Arial" w:hAnsi="Arial" w:cs="Arial"/>
          <w:color w:val="808080" w:themeColor="background1" w:themeShade="80"/>
          <w:sz w:val="24"/>
          <w:szCs w:val="24"/>
        </w:rPr>
      </w:pPr>
      <w:r w:rsidRPr="00591FF0">
        <w:rPr>
          <w:rFonts w:ascii="Arial" w:hAnsi="Arial" w:cs="Arial"/>
          <w:color w:val="808080" w:themeColor="background1" w:themeShade="80"/>
          <w:sz w:val="24"/>
          <w:szCs w:val="24"/>
        </w:rPr>
        <w:t>Seguindo o propósito de aperfeiçoamento contínuo e de maior trans</w:t>
      </w:r>
      <w:r w:rsidRPr="00591FF0">
        <w:rPr>
          <w:rFonts w:ascii="Arial" w:hAnsi="Arial" w:cs="Arial"/>
          <w:color w:val="808080" w:themeColor="background1" w:themeShade="80"/>
          <w:sz w:val="24"/>
          <w:szCs w:val="24"/>
        </w:rPr>
        <w:softHyphen/>
        <w:t>parência e qualidade na prestação de contas do Governo Municipal, o Setor de Contabilidade não tem medido esforços a fim de aderir às boas práticas de transparência contábil, atendendo os preceitos da Lei Federal Complementar nº 131, de 27 de maio de 2009 e da Lei Federal nº 12.527, de 18 de novembro de 2011, disponibilizando informações na página do sitio oficial d</w:t>
      </w:r>
      <w:r w:rsidR="00603641">
        <w:rPr>
          <w:rFonts w:ascii="Arial" w:hAnsi="Arial" w:cs="Arial"/>
          <w:color w:val="808080" w:themeColor="background1" w:themeShade="80"/>
          <w:sz w:val="24"/>
          <w:szCs w:val="24"/>
        </w:rPr>
        <w:t>o Município.</w:t>
      </w:r>
    </w:p>
    <w:p w:rsidR="009964CB" w:rsidRPr="000D6CF1" w:rsidRDefault="009964CB" w:rsidP="00807064">
      <w:pPr>
        <w:autoSpaceDE w:val="0"/>
        <w:autoSpaceDN w:val="0"/>
        <w:adjustRightInd w:val="0"/>
        <w:spacing w:line="240" w:lineRule="auto"/>
        <w:jc w:val="center"/>
        <w:rPr>
          <w:rFonts w:ascii="Arial" w:hAnsi="Arial" w:cs="Arial"/>
          <w:color w:val="A6A6A6" w:themeColor="background1" w:themeShade="A6"/>
          <w:sz w:val="24"/>
          <w:szCs w:val="24"/>
        </w:rPr>
        <w:sectPr w:rsidR="009964CB" w:rsidRPr="000D6CF1" w:rsidSect="00AB5761">
          <w:headerReference w:type="default" r:id="rId11"/>
          <w:type w:val="continuous"/>
          <w:pgSz w:w="11906" w:h="16838"/>
          <w:pgMar w:top="1418" w:right="1133" w:bottom="1418" w:left="1701" w:header="709" w:footer="709" w:gutter="0"/>
          <w:cols w:space="708"/>
          <w:docGrid w:linePitch="360"/>
        </w:sectPr>
      </w:pPr>
    </w:p>
    <w:p w:rsidR="00BE322F" w:rsidRDefault="00BE322F" w:rsidP="0060731E">
      <w:pPr>
        <w:spacing w:after="0" w:line="240" w:lineRule="auto"/>
        <w:rPr>
          <w:rFonts w:ascii="Bahnschrift" w:hAnsi="Bahnschrift" w:cs="Arial"/>
          <w:b/>
          <w:bCs/>
          <w:color w:val="984806" w:themeColor="accent6" w:themeShade="80"/>
          <w:sz w:val="28"/>
          <w:szCs w:val="28"/>
        </w:rPr>
      </w:pPr>
    </w:p>
    <w:p w:rsidR="00BE322F" w:rsidRDefault="00BE322F" w:rsidP="0060731E">
      <w:pPr>
        <w:spacing w:after="0" w:line="240" w:lineRule="auto"/>
        <w:rPr>
          <w:rFonts w:ascii="Bahnschrift" w:hAnsi="Bahnschrift" w:cs="Arial"/>
          <w:b/>
          <w:bCs/>
          <w:color w:val="984806" w:themeColor="accent6" w:themeShade="80"/>
          <w:sz w:val="28"/>
          <w:szCs w:val="28"/>
        </w:rPr>
      </w:pPr>
    </w:p>
    <w:p w:rsidR="00DD1D9E" w:rsidRDefault="00DD1D9E" w:rsidP="0060731E">
      <w:pPr>
        <w:spacing w:after="0" w:line="240" w:lineRule="auto"/>
        <w:rPr>
          <w:rFonts w:ascii="Bahnschrift" w:hAnsi="Bahnschrift" w:cs="Arial"/>
          <w:b/>
          <w:bCs/>
          <w:color w:val="984806" w:themeColor="accent6" w:themeShade="80"/>
          <w:sz w:val="28"/>
          <w:szCs w:val="28"/>
        </w:rPr>
      </w:pPr>
    </w:p>
    <w:p w:rsidR="00DD1D9E" w:rsidRDefault="00DD1D9E" w:rsidP="0060731E">
      <w:pPr>
        <w:spacing w:after="0" w:line="240" w:lineRule="auto"/>
        <w:rPr>
          <w:rFonts w:ascii="Bahnschrift" w:hAnsi="Bahnschrift" w:cs="Arial"/>
          <w:b/>
          <w:bCs/>
          <w:color w:val="984806" w:themeColor="accent6" w:themeShade="80"/>
          <w:sz w:val="28"/>
          <w:szCs w:val="28"/>
        </w:rPr>
      </w:pPr>
    </w:p>
    <w:p w:rsidR="00DD1D9E" w:rsidRDefault="00DD1D9E" w:rsidP="0060731E">
      <w:pPr>
        <w:spacing w:after="0" w:line="240" w:lineRule="auto"/>
        <w:rPr>
          <w:rFonts w:ascii="Bahnschrift" w:hAnsi="Bahnschrift" w:cs="Arial"/>
          <w:b/>
          <w:bCs/>
          <w:color w:val="984806" w:themeColor="accent6" w:themeShade="80"/>
          <w:sz w:val="28"/>
          <w:szCs w:val="28"/>
        </w:rPr>
      </w:pPr>
    </w:p>
    <w:p w:rsidR="00DD1D9E" w:rsidRDefault="00DD1D9E" w:rsidP="0060731E">
      <w:pPr>
        <w:spacing w:after="0" w:line="240" w:lineRule="auto"/>
        <w:rPr>
          <w:rFonts w:ascii="Bahnschrift" w:hAnsi="Bahnschrift" w:cs="Arial"/>
          <w:b/>
          <w:bCs/>
          <w:color w:val="984806" w:themeColor="accent6" w:themeShade="80"/>
          <w:sz w:val="28"/>
          <w:szCs w:val="28"/>
        </w:rPr>
      </w:pPr>
    </w:p>
    <w:p w:rsidR="00855A6A" w:rsidRDefault="00855A6A" w:rsidP="0060731E">
      <w:pPr>
        <w:spacing w:after="0" w:line="240" w:lineRule="auto"/>
        <w:rPr>
          <w:rFonts w:ascii="Bahnschrift" w:hAnsi="Bahnschrift" w:cs="Arial"/>
          <w:b/>
          <w:bCs/>
          <w:color w:val="984806" w:themeColor="accent6" w:themeShade="80"/>
          <w:sz w:val="28"/>
          <w:szCs w:val="28"/>
        </w:rPr>
      </w:pPr>
    </w:p>
    <w:p w:rsidR="008A3226" w:rsidRDefault="005A63BA" w:rsidP="0060731E">
      <w:pPr>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lastRenderedPageBreak/>
        <w:t>NOTAS EXPLICATIVAS AO BALANÇO ORÇAMENTÁRIO</w:t>
      </w:r>
    </w:p>
    <w:p w:rsidR="001A008C" w:rsidRPr="0026351F" w:rsidRDefault="001A008C" w:rsidP="0060731E">
      <w:pPr>
        <w:spacing w:after="0" w:line="240" w:lineRule="auto"/>
        <w:rPr>
          <w:rFonts w:ascii="Arial" w:hAnsi="Arial" w:cs="Arial"/>
          <w:b/>
          <w:bCs/>
          <w:color w:val="984806" w:themeColor="accent6" w:themeShade="80"/>
          <w:sz w:val="24"/>
          <w:szCs w:val="24"/>
        </w:rPr>
      </w:pPr>
    </w:p>
    <w:p w:rsidR="001A008C" w:rsidRPr="0026351F" w:rsidRDefault="001A008C" w:rsidP="0060731E">
      <w:pPr>
        <w:spacing w:after="0" w:line="240" w:lineRule="auto"/>
        <w:rPr>
          <w:rFonts w:ascii="Arial" w:hAnsi="Arial" w:cs="Arial"/>
          <w:b/>
          <w:bCs/>
          <w:color w:val="984806" w:themeColor="accent6" w:themeShade="80"/>
          <w:sz w:val="24"/>
          <w:szCs w:val="24"/>
        </w:rPr>
      </w:pPr>
    </w:p>
    <w:p w:rsidR="00E20A03" w:rsidRDefault="00E20A03" w:rsidP="00143E39">
      <w:pPr>
        <w:autoSpaceDE w:val="0"/>
        <w:autoSpaceDN w:val="0"/>
        <w:adjustRightInd w:val="0"/>
        <w:spacing w:after="0" w:line="240" w:lineRule="auto"/>
        <w:jc w:val="both"/>
        <w:rPr>
          <w:rFonts w:ascii="Arial" w:hAnsi="Arial" w:cs="Arial"/>
          <w:sz w:val="24"/>
          <w:szCs w:val="24"/>
          <w:lang w:val="es-ES_tradnl"/>
        </w:rPr>
      </w:pPr>
      <w:r w:rsidRPr="001A008C">
        <w:rPr>
          <w:rFonts w:ascii="Arial" w:hAnsi="Arial" w:cs="Arial"/>
          <w:sz w:val="24"/>
          <w:szCs w:val="24"/>
        </w:rPr>
        <w:t>O Balanço Orçamentário demonstrará as receitas detalhadas por categoria econômica e origem, especificando a previsão inicial, a previsão atualizada para o exercício, a receita realizada e o saldo, que corresponde ao excesso ou déficit de arrecadação. Demonstrará, também, as despesas por categoria econômica e grupo de natureza da despesa, discriminando a dotação inicial, a dotação atualizada para o exercício, as despesas empenhadas, as despesas liquidadas, as despesas pagas e o saldo da dotação.</w:t>
      </w:r>
      <w:r w:rsidR="00143E39">
        <w:rPr>
          <w:rFonts w:ascii="Arial" w:hAnsi="Arial" w:cs="Arial"/>
          <w:sz w:val="24"/>
          <w:szCs w:val="24"/>
        </w:rPr>
        <w:t xml:space="preserve"> </w:t>
      </w:r>
      <w:r w:rsidRPr="001A008C">
        <w:rPr>
          <w:rFonts w:ascii="Arial" w:hAnsi="Arial" w:cs="Arial"/>
          <w:sz w:val="24"/>
          <w:szCs w:val="24"/>
          <w:lang w:val="es-ES_tradnl"/>
        </w:rPr>
        <w:t xml:space="preserve">A execução do orçamento da Entidade </w:t>
      </w:r>
      <w:r w:rsidR="009E120F">
        <w:rPr>
          <w:rFonts w:ascii="Arial" w:hAnsi="Arial" w:cs="Arial"/>
          <w:sz w:val="24"/>
          <w:szCs w:val="24"/>
          <w:lang w:val="es-ES_tradnl"/>
        </w:rPr>
        <w:t>Fundo Municipal de Saúde</w:t>
      </w:r>
      <w:r w:rsidRPr="001A008C">
        <w:rPr>
          <w:rFonts w:ascii="Arial" w:hAnsi="Arial" w:cs="Arial"/>
          <w:sz w:val="24"/>
          <w:szCs w:val="24"/>
          <w:lang w:val="es-ES_tradnl"/>
        </w:rPr>
        <w:t xml:space="preserve"> de </w:t>
      </w:r>
      <w:r w:rsidR="00FD1215">
        <w:rPr>
          <w:rFonts w:ascii="Arial" w:hAnsi="Arial" w:cs="Arial"/>
          <w:sz w:val="24"/>
          <w:szCs w:val="24"/>
        </w:rPr>
        <w:t>Santa Terezinha do Progresso</w:t>
      </w:r>
      <w:r w:rsidR="00FD1215" w:rsidRPr="001A008C">
        <w:rPr>
          <w:rFonts w:ascii="Arial" w:hAnsi="Arial" w:cs="Arial"/>
          <w:sz w:val="24"/>
          <w:szCs w:val="24"/>
          <w:lang w:val="es-ES_tradnl"/>
        </w:rPr>
        <w:t xml:space="preserve"> </w:t>
      </w:r>
      <w:r w:rsidRPr="001A008C">
        <w:rPr>
          <w:rFonts w:ascii="Arial" w:hAnsi="Arial" w:cs="Arial"/>
          <w:sz w:val="24"/>
          <w:szCs w:val="24"/>
          <w:lang w:val="es-ES_tradnl"/>
        </w:rPr>
        <w:t>em 201</w:t>
      </w:r>
      <w:r w:rsidR="00175D6F">
        <w:rPr>
          <w:rFonts w:ascii="Arial" w:hAnsi="Arial" w:cs="Arial"/>
          <w:sz w:val="24"/>
          <w:szCs w:val="24"/>
          <w:lang w:val="es-ES_tradnl"/>
        </w:rPr>
        <w:t>9</w:t>
      </w:r>
      <w:r w:rsidR="00143E39">
        <w:rPr>
          <w:rFonts w:ascii="Arial" w:hAnsi="Arial" w:cs="Arial"/>
          <w:sz w:val="24"/>
          <w:szCs w:val="24"/>
          <w:lang w:val="es-ES_tradnl"/>
        </w:rPr>
        <w:t>,</w:t>
      </w:r>
      <w:r w:rsidRPr="001A008C">
        <w:rPr>
          <w:rFonts w:ascii="Arial" w:hAnsi="Arial" w:cs="Arial"/>
          <w:sz w:val="24"/>
          <w:szCs w:val="24"/>
          <w:lang w:val="es-ES_tradnl"/>
        </w:rPr>
        <w:t xml:space="preserve"> apresentou os seguintes resultados:</w:t>
      </w:r>
    </w:p>
    <w:p w:rsidR="00CD0424" w:rsidRDefault="00CD0424" w:rsidP="00143E39">
      <w:pPr>
        <w:autoSpaceDE w:val="0"/>
        <w:autoSpaceDN w:val="0"/>
        <w:adjustRightInd w:val="0"/>
        <w:spacing w:after="0" w:line="240" w:lineRule="auto"/>
        <w:jc w:val="both"/>
        <w:rPr>
          <w:rFonts w:ascii="Arial" w:hAnsi="Arial" w:cs="Arial"/>
          <w:sz w:val="24"/>
          <w:szCs w:val="24"/>
          <w:lang w:val="es-ES_tradnl"/>
        </w:rPr>
      </w:pPr>
    </w:p>
    <w:p w:rsidR="00777BDF" w:rsidRPr="00777BDF" w:rsidRDefault="00777BDF" w:rsidP="00143E39">
      <w:pPr>
        <w:autoSpaceDE w:val="0"/>
        <w:autoSpaceDN w:val="0"/>
        <w:adjustRightInd w:val="0"/>
        <w:spacing w:after="0" w:line="240" w:lineRule="auto"/>
        <w:jc w:val="both"/>
        <w:rPr>
          <w:rFonts w:ascii="Arial" w:hAnsi="Arial" w:cs="Arial"/>
          <w:sz w:val="10"/>
          <w:szCs w:val="10"/>
          <w:lang w:val="es-ES_tradnl"/>
        </w:rPr>
      </w:pPr>
    </w:p>
    <w:tbl>
      <w:tblPr>
        <w:tblStyle w:val="TabeladeGrade4-nfase52"/>
        <w:tblW w:w="9209" w:type="dxa"/>
        <w:jc w:val="center"/>
        <w:tblLook w:val="04A0" w:firstRow="1" w:lastRow="0" w:firstColumn="1" w:lastColumn="0" w:noHBand="0" w:noVBand="1"/>
      </w:tblPr>
      <w:tblGrid>
        <w:gridCol w:w="6862"/>
        <w:gridCol w:w="2347"/>
      </w:tblGrid>
      <w:tr w:rsidR="0005625A" w:rsidRPr="00F039A1" w:rsidTr="007B30E3">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7B30E3">
            <w:pPr>
              <w:rPr>
                <w:rFonts w:ascii="Arial" w:eastAsia="Times New Roman" w:hAnsi="Arial" w:cs="Arial"/>
                <w:color w:val="auto"/>
                <w:sz w:val="20"/>
                <w:szCs w:val="20"/>
                <w:lang w:eastAsia="pt-BR"/>
              </w:rPr>
            </w:pPr>
            <w:r w:rsidRPr="00F039A1">
              <w:rPr>
                <w:rFonts w:ascii="Arial" w:eastAsia="Times New Roman" w:hAnsi="Arial" w:cs="Arial"/>
                <w:color w:val="auto"/>
                <w:sz w:val="20"/>
                <w:szCs w:val="20"/>
                <w:lang w:eastAsia="pt-BR"/>
              </w:rPr>
              <w:t>BALANÇO ORÇAMENTÁRIO</w:t>
            </w:r>
          </w:p>
        </w:tc>
        <w:tc>
          <w:tcPr>
            <w:tcW w:w="2347" w:type="dxa"/>
          </w:tcPr>
          <w:p w:rsidR="0005625A" w:rsidRPr="00F039A1" w:rsidRDefault="004F6791" w:rsidP="007B30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2019</w:t>
            </w:r>
          </w:p>
        </w:tc>
      </w:tr>
      <w:tr w:rsidR="0005625A" w:rsidRPr="00F039A1" w:rsidTr="007B30E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jc w:val="center"/>
              <w:rPr>
                <w:rFonts w:ascii="Arial" w:eastAsia="Times New Roman" w:hAnsi="Arial" w:cs="Arial"/>
                <w:sz w:val="20"/>
                <w:szCs w:val="20"/>
                <w:lang w:eastAsia="pt-BR"/>
              </w:rPr>
            </w:pPr>
            <w:r w:rsidRPr="00F039A1">
              <w:rPr>
                <w:rFonts w:ascii="Arial" w:eastAsia="Times New Roman" w:hAnsi="Arial" w:cs="Arial"/>
                <w:sz w:val="20"/>
                <w:szCs w:val="20"/>
                <w:lang w:eastAsia="pt-BR"/>
              </w:rPr>
              <w:t>RECEITAS</w:t>
            </w:r>
          </w:p>
        </w:tc>
        <w:tc>
          <w:tcPr>
            <w:tcW w:w="2347" w:type="dxa"/>
            <w:hideMark/>
          </w:tcPr>
          <w:p w:rsidR="0005625A" w:rsidRPr="00F039A1" w:rsidRDefault="0005625A"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sidRPr="00F039A1">
              <w:rPr>
                <w:rFonts w:ascii="Arial" w:eastAsia="Times New Roman" w:hAnsi="Arial" w:cs="Arial"/>
                <w:b/>
                <w:bCs/>
                <w:sz w:val="20"/>
                <w:szCs w:val="20"/>
                <w:lang w:eastAsia="pt-BR"/>
              </w:rPr>
              <w:t>Valor</w:t>
            </w:r>
          </w:p>
        </w:tc>
      </w:tr>
      <w:tr w:rsidR="0005625A" w:rsidRPr="00F039A1" w:rsidTr="007B30E3">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Previsão Inicial da Receita</w:t>
            </w:r>
          </w:p>
        </w:tc>
        <w:tc>
          <w:tcPr>
            <w:tcW w:w="2347" w:type="dxa"/>
          </w:tcPr>
          <w:p w:rsidR="0005625A" w:rsidRPr="00F039A1" w:rsidRDefault="00BD54E4" w:rsidP="0023592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866.492,44</w:t>
            </w:r>
          </w:p>
        </w:tc>
      </w:tr>
      <w:tr w:rsidR="0005625A" w:rsidRPr="00F039A1" w:rsidTr="007B30E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Previsão Atualizada da Receita</w:t>
            </w:r>
          </w:p>
        </w:tc>
        <w:tc>
          <w:tcPr>
            <w:tcW w:w="2347" w:type="dxa"/>
          </w:tcPr>
          <w:p w:rsidR="0005625A" w:rsidRPr="00F039A1" w:rsidRDefault="00BD54E4" w:rsidP="00DA7F8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866.492,44</w:t>
            </w:r>
          </w:p>
        </w:tc>
      </w:tr>
      <w:tr w:rsidR="0005625A" w:rsidRPr="00F039A1" w:rsidTr="007B30E3">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Receitas Realizadas Líquida</w:t>
            </w:r>
          </w:p>
        </w:tc>
        <w:tc>
          <w:tcPr>
            <w:tcW w:w="2347" w:type="dxa"/>
          </w:tcPr>
          <w:p w:rsidR="0005625A" w:rsidRPr="00F039A1" w:rsidRDefault="00BD54E4" w:rsidP="008070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1.486.572,39</w:t>
            </w:r>
          </w:p>
        </w:tc>
      </w:tr>
      <w:tr w:rsidR="0005625A" w:rsidRPr="00F039A1" w:rsidTr="007B30E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Déficit Orçamentário</w:t>
            </w:r>
          </w:p>
        </w:tc>
        <w:tc>
          <w:tcPr>
            <w:tcW w:w="2347" w:type="dxa"/>
          </w:tcPr>
          <w:p w:rsidR="0005625A" w:rsidRPr="00F039A1" w:rsidRDefault="002B0180"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2.370.169,38</w:t>
            </w:r>
          </w:p>
        </w:tc>
      </w:tr>
      <w:tr w:rsidR="0005625A" w:rsidRPr="00F039A1" w:rsidTr="007B30E3">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jc w:val="center"/>
              <w:rPr>
                <w:rFonts w:ascii="Arial" w:eastAsia="Times New Roman" w:hAnsi="Arial" w:cs="Arial"/>
                <w:sz w:val="20"/>
                <w:szCs w:val="20"/>
                <w:lang w:eastAsia="pt-BR"/>
              </w:rPr>
            </w:pPr>
            <w:r w:rsidRPr="00F039A1">
              <w:rPr>
                <w:rFonts w:ascii="Arial" w:eastAsia="Times New Roman" w:hAnsi="Arial" w:cs="Arial"/>
                <w:sz w:val="20"/>
                <w:szCs w:val="20"/>
                <w:lang w:eastAsia="pt-BR"/>
              </w:rPr>
              <w:t>DESPESAS</w:t>
            </w:r>
          </w:p>
        </w:tc>
        <w:tc>
          <w:tcPr>
            <w:tcW w:w="2347" w:type="dxa"/>
            <w:hideMark/>
          </w:tcPr>
          <w:p w:rsidR="0005625A" w:rsidRPr="00F039A1" w:rsidRDefault="0005625A" w:rsidP="008070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t-BR"/>
              </w:rPr>
            </w:pPr>
            <w:r w:rsidRPr="00F039A1">
              <w:rPr>
                <w:rFonts w:ascii="Arial" w:eastAsia="Times New Roman" w:hAnsi="Arial" w:cs="Arial"/>
                <w:b/>
                <w:bCs/>
                <w:sz w:val="20"/>
                <w:szCs w:val="20"/>
                <w:lang w:eastAsia="pt-BR"/>
              </w:rPr>
              <w:t>Valor</w:t>
            </w:r>
          </w:p>
        </w:tc>
      </w:tr>
      <w:tr w:rsidR="0005625A" w:rsidRPr="00F039A1" w:rsidTr="007B30E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Dotação Inicial</w:t>
            </w:r>
          </w:p>
        </w:tc>
        <w:tc>
          <w:tcPr>
            <w:tcW w:w="2347" w:type="dxa"/>
          </w:tcPr>
          <w:p w:rsidR="0005625A" w:rsidRPr="00F039A1" w:rsidRDefault="00BD54E4"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3.020.000,00</w:t>
            </w:r>
          </w:p>
        </w:tc>
      </w:tr>
      <w:tr w:rsidR="0005625A" w:rsidRPr="00F039A1" w:rsidTr="007B30E3">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BD54E4" w:rsidRDefault="0005625A" w:rsidP="00807064">
            <w:pPr>
              <w:rPr>
                <w:rFonts w:ascii="Arial" w:eastAsia="Times New Roman" w:hAnsi="Arial" w:cs="Arial"/>
                <w:sz w:val="20"/>
                <w:szCs w:val="20"/>
                <w:highlight w:val="yellow"/>
                <w:lang w:eastAsia="pt-BR"/>
              </w:rPr>
            </w:pPr>
            <w:r w:rsidRPr="002B0180">
              <w:rPr>
                <w:rFonts w:ascii="Arial" w:eastAsia="Times New Roman" w:hAnsi="Arial" w:cs="Arial"/>
                <w:sz w:val="20"/>
                <w:szCs w:val="20"/>
                <w:lang w:eastAsia="pt-BR"/>
              </w:rPr>
              <w:t>Créditos Adicionais</w:t>
            </w:r>
          </w:p>
        </w:tc>
        <w:tc>
          <w:tcPr>
            <w:tcW w:w="2347" w:type="dxa"/>
          </w:tcPr>
          <w:p w:rsidR="0005625A" w:rsidRPr="00F039A1" w:rsidRDefault="002B0180" w:rsidP="008070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1.118.062,29</w:t>
            </w:r>
          </w:p>
        </w:tc>
      </w:tr>
      <w:tr w:rsidR="0005625A" w:rsidRPr="00F039A1" w:rsidTr="007B30E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Dotação Atualizada</w:t>
            </w:r>
          </w:p>
        </w:tc>
        <w:tc>
          <w:tcPr>
            <w:tcW w:w="2347" w:type="dxa"/>
          </w:tcPr>
          <w:p w:rsidR="0005625A" w:rsidRPr="00F039A1" w:rsidRDefault="00BD54E4"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4.138.062,29</w:t>
            </w:r>
          </w:p>
        </w:tc>
      </w:tr>
      <w:tr w:rsidR="0005625A" w:rsidRPr="00F039A1" w:rsidTr="007B30E3">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Despesas Empenhadas</w:t>
            </w:r>
          </w:p>
        </w:tc>
        <w:tc>
          <w:tcPr>
            <w:tcW w:w="2347" w:type="dxa"/>
          </w:tcPr>
          <w:p w:rsidR="0005625A" w:rsidRPr="00F039A1" w:rsidRDefault="00BD54E4" w:rsidP="008070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3.856.741,77</w:t>
            </w:r>
          </w:p>
        </w:tc>
      </w:tr>
      <w:tr w:rsidR="0005625A" w:rsidRPr="00F039A1" w:rsidTr="007B30E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Despesas Liquidadas</w:t>
            </w:r>
          </w:p>
        </w:tc>
        <w:tc>
          <w:tcPr>
            <w:tcW w:w="2347" w:type="dxa"/>
          </w:tcPr>
          <w:p w:rsidR="0005625A" w:rsidRPr="00F039A1" w:rsidRDefault="00BD54E4"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3.838.767,42</w:t>
            </w:r>
          </w:p>
        </w:tc>
      </w:tr>
      <w:tr w:rsidR="0005625A" w:rsidRPr="00F039A1" w:rsidTr="007B30E3">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rPr>
                <w:rFonts w:ascii="Arial" w:eastAsia="Times New Roman" w:hAnsi="Arial" w:cs="Arial"/>
                <w:sz w:val="20"/>
                <w:szCs w:val="20"/>
                <w:lang w:eastAsia="pt-BR"/>
              </w:rPr>
            </w:pPr>
            <w:r w:rsidRPr="00F039A1">
              <w:rPr>
                <w:rFonts w:ascii="Arial" w:eastAsia="Times New Roman" w:hAnsi="Arial" w:cs="Arial"/>
                <w:sz w:val="20"/>
                <w:szCs w:val="20"/>
                <w:lang w:eastAsia="pt-BR"/>
              </w:rPr>
              <w:t>Despesa Paga</w:t>
            </w:r>
          </w:p>
        </w:tc>
        <w:tc>
          <w:tcPr>
            <w:tcW w:w="2347" w:type="dxa"/>
          </w:tcPr>
          <w:p w:rsidR="0005625A" w:rsidRPr="00F039A1" w:rsidRDefault="00BD54E4" w:rsidP="008070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3.837.491,39</w:t>
            </w:r>
          </w:p>
        </w:tc>
      </w:tr>
      <w:tr w:rsidR="0005625A" w:rsidRPr="00F039A1" w:rsidTr="007B30E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05625A" w:rsidRPr="00F039A1" w:rsidRDefault="0005625A" w:rsidP="00807064">
            <w:pPr>
              <w:rPr>
                <w:rFonts w:ascii="Arial" w:eastAsia="Times New Roman" w:hAnsi="Arial" w:cs="Arial"/>
                <w:sz w:val="20"/>
                <w:szCs w:val="20"/>
                <w:lang w:eastAsia="pt-BR"/>
              </w:rPr>
            </w:pPr>
            <w:r w:rsidRPr="002B0180">
              <w:rPr>
                <w:rFonts w:ascii="Arial" w:eastAsia="Times New Roman" w:hAnsi="Arial" w:cs="Arial"/>
                <w:sz w:val="20"/>
                <w:szCs w:val="20"/>
                <w:lang w:eastAsia="pt-BR"/>
              </w:rPr>
              <w:t>Superávit Orçamentário</w:t>
            </w:r>
          </w:p>
        </w:tc>
        <w:tc>
          <w:tcPr>
            <w:tcW w:w="2347" w:type="dxa"/>
          </w:tcPr>
          <w:p w:rsidR="0005625A" w:rsidRPr="00F039A1" w:rsidRDefault="00D269FC" w:rsidP="008070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0,00</w:t>
            </w:r>
          </w:p>
        </w:tc>
      </w:tr>
    </w:tbl>
    <w:p w:rsidR="00E51619" w:rsidRDefault="00E51619" w:rsidP="00143E39">
      <w:pPr>
        <w:pStyle w:val="PargrafodaLista"/>
        <w:spacing w:after="0" w:line="240" w:lineRule="auto"/>
        <w:ind w:left="0"/>
        <w:rPr>
          <w:rFonts w:ascii="Arial" w:hAnsi="Arial" w:cs="Arial"/>
          <w:b/>
          <w:bCs/>
          <w:color w:val="FF0000"/>
          <w:sz w:val="24"/>
          <w:szCs w:val="24"/>
        </w:rPr>
      </w:pPr>
    </w:p>
    <w:p w:rsidR="00855A6A" w:rsidRDefault="00855A6A" w:rsidP="00143E39">
      <w:pPr>
        <w:pStyle w:val="PargrafodaLista"/>
        <w:spacing w:after="0" w:line="240" w:lineRule="auto"/>
        <w:ind w:left="0"/>
        <w:rPr>
          <w:rFonts w:ascii="Arial" w:hAnsi="Arial" w:cs="Arial"/>
          <w:b/>
          <w:bCs/>
          <w:color w:val="FF0000"/>
          <w:sz w:val="24"/>
          <w:szCs w:val="24"/>
        </w:rPr>
      </w:pPr>
    </w:p>
    <w:p w:rsidR="00855A6A" w:rsidRDefault="00855A6A" w:rsidP="00855A6A">
      <w:pPr>
        <w:spacing w:line="240" w:lineRule="auto"/>
        <w:jc w:val="both"/>
        <w:rPr>
          <w:rFonts w:ascii="Arial" w:hAnsi="Arial" w:cs="Arial"/>
          <w:bCs/>
          <w:sz w:val="24"/>
          <w:szCs w:val="24"/>
        </w:rPr>
      </w:pPr>
      <w:r>
        <w:rPr>
          <w:rFonts w:ascii="Arial" w:hAnsi="Arial" w:cs="Arial"/>
          <w:bCs/>
          <w:sz w:val="24"/>
          <w:szCs w:val="24"/>
        </w:rPr>
        <w:t xml:space="preserve">O resultado orçamentário de 2019 foi deficitário em R$ 2.370.169,38, quando comparado </w:t>
      </w:r>
      <w:r w:rsidR="007C4E12">
        <w:rPr>
          <w:rFonts w:ascii="Arial" w:hAnsi="Arial" w:cs="Arial"/>
          <w:bCs/>
          <w:sz w:val="24"/>
          <w:szCs w:val="24"/>
        </w:rPr>
        <w:t>à</w:t>
      </w:r>
      <w:r>
        <w:rPr>
          <w:rFonts w:ascii="Arial" w:hAnsi="Arial" w:cs="Arial"/>
          <w:bCs/>
          <w:sz w:val="24"/>
          <w:szCs w:val="24"/>
        </w:rPr>
        <w:t xml:space="preserve"> receita arrecadada com a despesa empenhada. </w:t>
      </w:r>
    </w:p>
    <w:p w:rsidR="00855A6A" w:rsidRDefault="00855A6A" w:rsidP="00143E39">
      <w:pPr>
        <w:pStyle w:val="PargrafodaLista"/>
        <w:spacing w:after="0" w:line="240" w:lineRule="auto"/>
        <w:ind w:left="0"/>
        <w:rPr>
          <w:rFonts w:ascii="Arial" w:hAnsi="Arial" w:cs="Arial"/>
          <w:b/>
          <w:bCs/>
          <w:color w:val="FF0000"/>
          <w:sz w:val="24"/>
          <w:szCs w:val="24"/>
        </w:rPr>
      </w:pPr>
    </w:p>
    <w:p w:rsidR="008A3226" w:rsidRPr="00D510B2" w:rsidRDefault="008A3226" w:rsidP="00D510B2">
      <w:pPr>
        <w:pStyle w:val="PargrafodaLista"/>
        <w:numPr>
          <w:ilvl w:val="0"/>
          <w:numId w:val="24"/>
        </w:numPr>
        <w:spacing w:after="0" w:line="240" w:lineRule="auto"/>
        <w:ind w:left="426"/>
        <w:rPr>
          <w:rFonts w:ascii="Arial" w:hAnsi="Arial" w:cs="Arial"/>
          <w:b/>
          <w:bCs/>
          <w:color w:val="FF0000"/>
          <w:sz w:val="24"/>
          <w:szCs w:val="24"/>
        </w:rPr>
      </w:pPr>
      <w:r w:rsidRPr="00D510B2">
        <w:rPr>
          <w:rFonts w:ascii="Arial" w:hAnsi="Arial" w:cs="Arial"/>
          <w:b/>
          <w:bCs/>
          <w:color w:val="215868" w:themeColor="accent5" w:themeShade="80"/>
          <w:sz w:val="24"/>
          <w:szCs w:val="24"/>
        </w:rPr>
        <w:t>Previsão da receita versus arrecadação</w:t>
      </w:r>
    </w:p>
    <w:p w:rsidR="002B7B6D" w:rsidRDefault="002B7B6D" w:rsidP="002B7B6D">
      <w:pPr>
        <w:pStyle w:val="PargrafodaLista"/>
        <w:spacing w:after="0" w:line="240" w:lineRule="auto"/>
        <w:ind w:left="405"/>
        <w:rPr>
          <w:rFonts w:ascii="Arial" w:hAnsi="Arial" w:cs="Arial"/>
          <w:b/>
          <w:bCs/>
          <w:color w:val="215868" w:themeColor="accent5" w:themeShade="80"/>
          <w:sz w:val="24"/>
          <w:szCs w:val="24"/>
        </w:rPr>
      </w:pPr>
    </w:p>
    <w:tbl>
      <w:tblPr>
        <w:tblStyle w:val="TabeladeGrade4-nfase52"/>
        <w:tblW w:w="9243" w:type="dxa"/>
        <w:tblInd w:w="108" w:type="dxa"/>
        <w:tblLook w:val="04A0" w:firstRow="1" w:lastRow="0" w:firstColumn="1" w:lastColumn="0" w:noHBand="0" w:noVBand="1"/>
      </w:tblPr>
      <w:tblGrid>
        <w:gridCol w:w="4111"/>
        <w:gridCol w:w="1418"/>
        <w:gridCol w:w="1842"/>
        <w:gridCol w:w="1872"/>
      </w:tblGrid>
      <w:tr w:rsidR="002B7B6D" w:rsidRPr="00333898" w:rsidTr="007B30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1" w:type="dxa"/>
          </w:tcPr>
          <w:p w:rsidR="002B7B6D" w:rsidRPr="007B30E3" w:rsidRDefault="00391DA1" w:rsidP="007B30E3">
            <w:pPr>
              <w:autoSpaceDE w:val="0"/>
              <w:autoSpaceDN w:val="0"/>
              <w:adjustRightInd w:val="0"/>
              <w:rPr>
                <w:rFonts w:ascii="Arial" w:hAnsi="Arial" w:cs="Arial"/>
                <w:color w:val="auto"/>
                <w:sz w:val="20"/>
                <w:szCs w:val="20"/>
              </w:rPr>
            </w:pPr>
            <w:r w:rsidRPr="007B30E3">
              <w:rPr>
                <w:rFonts w:ascii="Arial" w:hAnsi="Arial" w:cs="Arial"/>
                <w:color w:val="auto"/>
                <w:sz w:val="20"/>
                <w:szCs w:val="20"/>
              </w:rPr>
              <w:t>RECEITA</w:t>
            </w:r>
          </w:p>
        </w:tc>
        <w:tc>
          <w:tcPr>
            <w:tcW w:w="1418" w:type="dxa"/>
          </w:tcPr>
          <w:p w:rsidR="002B7B6D" w:rsidRPr="007B30E3" w:rsidRDefault="00391DA1"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B30E3">
              <w:rPr>
                <w:rFonts w:ascii="Arial" w:hAnsi="Arial" w:cs="Arial"/>
                <w:color w:val="auto"/>
                <w:sz w:val="20"/>
                <w:szCs w:val="20"/>
              </w:rPr>
              <w:t>PREVISÃO</w:t>
            </w:r>
          </w:p>
        </w:tc>
        <w:tc>
          <w:tcPr>
            <w:tcW w:w="1842" w:type="dxa"/>
          </w:tcPr>
          <w:p w:rsidR="002B7B6D" w:rsidRPr="007B30E3" w:rsidRDefault="00391DA1"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B30E3">
              <w:rPr>
                <w:rFonts w:ascii="Arial" w:hAnsi="Arial" w:cs="Arial"/>
                <w:color w:val="auto"/>
                <w:sz w:val="20"/>
                <w:szCs w:val="20"/>
              </w:rPr>
              <w:t>ARRECADAÇÃO</w:t>
            </w:r>
          </w:p>
        </w:tc>
        <w:tc>
          <w:tcPr>
            <w:tcW w:w="1872" w:type="dxa"/>
          </w:tcPr>
          <w:p w:rsidR="002B7B6D" w:rsidRPr="007B30E3" w:rsidRDefault="00391DA1"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B30E3">
              <w:rPr>
                <w:rFonts w:ascii="Arial" w:hAnsi="Arial" w:cs="Arial"/>
                <w:color w:val="auto"/>
                <w:sz w:val="20"/>
                <w:szCs w:val="20"/>
              </w:rPr>
              <w:t>DIFERENÇA</w:t>
            </w:r>
          </w:p>
        </w:tc>
      </w:tr>
      <w:tr w:rsidR="00B73E57" w:rsidRPr="00391DA1"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1" w:type="dxa"/>
          </w:tcPr>
          <w:p w:rsidR="00B73E57" w:rsidRPr="00391DA1" w:rsidRDefault="00B73E57" w:rsidP="00B73E57">
            <w:pPr>
              <w:autoSpaceDE w:val="0"/>
              <w:autoSpaceDN w:val="0"/>
              <w:adjustRightInd w:val="0"/>
              <w:rPr>
                <w:rFonts w:ascii="Arial" w:hAnsi="Arial" w:cs="Arial"/>
                <w:b w:val="0"/>
                <w:sz w:val="20"/>
                <w:szCs w:val="20"/>
              </w:rPr>
            </w:pPr>
            <w:r w:rsidRPr="00391DA1">
              <w:rPr>
                <w:rFonts w:ascii="Arial" w:hAnsi="Arial" w:cs="Arial"/>
                <w:b w:val="0"/>
                <w:sz w:val="20"/>
                <w:szCs w:val="20"/>
              </w:rPr>
              <w:t>RECEITAS CORRENTES</w:t>
            </w:r>
          </w:p>
        </w:tc>
        <w:tc>
          <w:tcPr>
            <w:tcW w:w="1418" w:type="dxa"/>
          </w:tcPr>
          <w:p w:rsidR="00B73E57" w:rsidRPr="00391DA1" w:rsidRDefault="00BD54E4"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707.492,44</w:t>
            </w:r>
          </w:p>
        </w:tc>
        <w:tc>
          <w:tcPr>
            <w:tcW w:w="1842" w:type="dxa"/>
          </w:tcPr>
          <w:p w:rsidR="00B73E57" w:rsidRPr="00391DA1" w:rsidRDefault="00BD54E4"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1.386.572,39</w:t>
            </w:r>
          </w:p>
        </w:tc>
        <w:tc>
          <w:tcPr>
            <w:tcW w:w="1872" w:type="dxa"/>
            <w:vAlign w:val="bottom"/>
          </w:tcPr>
          <w:p w:rsidR="00B73E57" w:rsidRPr="00B73E57" w:rsidRDefault="00BD54E4"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679.079,95</w:t>
            </w:r>
          </w:p>
        </w:tc>
      </w:tr>
      <w:tr w:rsidR="00D269FC" w:rsidRPr="00391DA1" w:rsidTr="007B30E3">
        <w:trPr>
          <w:trHeight w:val="255"/>
        </w:trPr>
        <w:tc>
          <w:tcPr>
            <w:cnfStyle w:val="001000000000" w:firstRow="0" w:lastRow="0" w:firstColumn="1" w:lastColumn="0" w:oddVBand="0" w:evenVBand="0" w:oddHBand="0" w:evenHBand="0" w:firstRowFirstColumn="0" w:firstRowLastColumn="0" w:lastRowFirstColumn="0" w:lastRowLastColumn="0"/>
            <w:tcW w:w="4111" w:type="dxa"/>
          </w:tcPr>
          <w:p w:rsidR="00D269FC" w:rsidRPr="00391DA1" w:rsidRDefault="00D269FC" w:rsidP="00B73E57">
            <w:pPr>
              <w:autoSpaceDE w:val="0"/>
              <w:autoSpaceDN w:val="0"/>
              <w:adjustRightInd w:val="0"/>
              <w:rPr>
                <w:rFonts w:ascii="Arial" w:hAnsi="Arial" w:cs="Arial"/>
                <w:sz w:val="20"/>
                <w:szCs w:val="20"/>
              </w:rPr>
            </w:pPr>
            <w:r>
              <w:rPr>
                <w:rFonts w:ascii="Arial" w:hAnsi="Arial" w:cs="Arial"/>
                <w:sz w:val="20"/>
                <w:szCs w:val="20"/>
              </w:rPr>
              <w:t>Impostos, taxas e contribuições</w:t>
            </w:r>
          </w:p>
        </w:tc>
        <w:tc>
          <w:tcPr>
            <w:tcW w:w="1418" w:type="dxa"/>
          </w:tcPr>
          <w:p w:rsidR="00D269FC" w:rsidRPr="00D269FC" w:rsidRDefault="00BD54E4"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2.730,87</w:t>
            </w:r>
          </w:p>
        </w:tc>
        <w:tc>
          <w:tcPr>
            <w:tcW w:w="1842" w:type="dxa"/>
          </w:tcPr>
          <w:p w:rsidR="00D269FC" w:rsidRPr="00D269FC" w:rsidRDefault="00BD54E4"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2.510,99</w:t>
            </w:r>
          </w:p>
        </w:tc>
        <w:tc>
          <w:tcPr>
            <w:tcW w:w="1872" w:type="dxa"/>
            <w:vAlign w:val="bottom"/>
          </w:tcPr>
          <w:p w:rsidR="00D269FC" w:rsidRPr="00D269FC" w:rsidRDefault="00BD54E4"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-219,88</w:t>
            </w:r>
          </w:p>
        </w:tc>
      </w:tr>
      <w:tr w:rsidR="00B73E57" w:rsidRPr="00333898"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1" w:type="dxa"/>
          </w:tcPr>
          <w:p w:rsidR="00B73E57" w:rsidRPr="0026351F" w:rsidRDefault="00B73E57" w:rsidP="00B73E57">
            <w:pPr>
              <w:autoSpaceDE w:val="0"/>
              <w:autoSpaceDN w:val="0"/>
              <w:adjustRightInd w:val="0"/>
              <w:rPr>
                <w:rFonts w:ascii="Arial" w:hAnsi="Arial" w:cs="Arial"/>
                <w:sz w:val="20"/>
                <w:szCs w:val="20"/>
              </w:rPr>
            </w:pPr>
            <w:r>
              <w:rPr>
                <w:rFonts w:ascii="Arial" w:hAnsi="Arial" w:cs="Arial"/>
                <w:sz w:val="20"/>
                <w:szCs w:val="20"/>
              </w:rPr>
              <w:t>Patrimonial</w:t>
            </w:r>
          </w:p>
        </w:tc>
        <w:tc>
          <w:tcPr>
            <w:tcW w:w="1418" w:type="dxa"/>
          </w:tcPr>
          <w:p w:rsidR="00BD54E4" w:rsidRPr="0026351F" w:rsidRDefault="00BD54E4" w:rsidP="00BD54E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16.376,54</w:t>
            </w:r>
          </w:p>
        </w:tc>
        <w:tc>
          <w:tcPr>
            <w:tcW w:w="1842" w:type="dxa"/>
          </w:tcPr>
          <w:p w:rsidR="00B73E57" w:rsidRPr="0026351F" w:rsidRDefault="00BD54E4"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7.367,75</w:t>
            </w:r>
          </w:p>
        </w:tc>
        <w:tc>
          <w:tcPr>
            <w:tcW w:w="1872" w:type="dxa"/>
            <w:vAlign w:val="bottom"/>
          </w:tcPr>
          <w:p w:rsidR="00B73E57" w:rsidRPr="00B73E57" w:rsidRDefault="00BD54E4"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-9.008,70</w:t>
            </w:r>
          </w:p>
        </w:tc>
      </w:tr>
      <w:tr w:rsidR="00B73E57" w:rsidRPr="00333898" w:rsidTr="007B30E3">
        <w:trPr>
          <w:trHeight w:val="255"/>
        </w:trPr>
        <w:tc>
          <w:tcPr>
            <w:cnfStyle w:val="001000000000" w:firstRow="0" w:lastRow="0" w:firstColumn="1" w:lastColumn="0" w:oddVBand="0" w:evenVBand="0" w:oddHBand="0" w:evenHBand="0" w:firstRowFirstColumn="0" w:firstRowLastColumn="0" w:lastRowFirstColumn="0" w:lastRowLastColumn="0"/>
            <w:tcW w:w="4111" w:type="dxa"/>
          </w:tcPr>
          <w:p w:rsidR="00B73E57" w:rsidRDefault="00B73E57" w:rsidP="00B73E57">
            <w:pPr>
              <w:autoSpaceDE w:val="0"/>
              <w:autoSpaceDN w:val="0"/>
              <w:adjustRightInd w:val="0"/>
              <w:rPr>
                <w:rFonts w:ascii="Arial" w:hAnsi="Arial" w:cs="Arial"/>
                <w:sz w:val="20"/>
                <w:szCs w:val="20"/>
              </w:rPr>
            </w:pPr>
            <w:r>
              <w:rPr>
                <w:rFonts w:ascii="Arial" w:hAnsi="Arial" w:cs="Arial"/>
                <w:sz w:val="20"/>
                <w:szCs w:val="20"/>
              </w:rPr>
              <w:t>Transferências correntes</w:t>
            </w:r>
          </w:p>
        </w:tc>
        <w:tc>
          <w:tcPr>
            <w:tcW w:w="1418" w:type="dxa"/>
          </w:tcPr>
          <w:p w:rsidR="00B73E57" w:rsidRPr="0026351F" w:rsidRDefault="00A61972"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688.385,12</w:t>
            </w:r>
          </w:p>
        </w:tc>
        <w:tc>
          <w:tcPr>
            <w:tcW w:w="1842" w:type="dxa"/>
          </w:tcPr>
          <w:p w:rsidR="00B73E57" w:rsidRPr="0026351F" w:rsidRDefault="00A61972"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1.371.869,62</w:t>
            </w:r>
          </w:p>
        </w:tc>
        <w:tc>
          <w:tcPr>
            <w:tcW w:w="1872" w:type="dxa"/>
            <w:vAlign w:val="bottom"/>
          </w:tcPr>
          <w:p w:rsidR="00B73E57" w:rsidRPr="00B73E57" w:rsidRDefault="00A61972"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683.484,50</w:t>
            </w:r>
          </w:p>
        </w:tc>
      </w:tr>
      <w:tr w:rsidR="00B73E57" w:rsidRPr="00333898"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1" w:type="dxa"/>
          </w:tcPr>
          <w:p w:rsidR="00B73E57" w:rsidRDefault="00B73E57" w:rsidP="00B73E57">
            <w:pPr>
              <w:autoSpaceDE w:val="0"/>
              <w:autoSpaceDN w:val="0"/>
              <w:adjustRightInd w:val="0"/>
              <w:rPr>
                <w:rFonts w:ascii="Arial" w:hAnsi="Arial" w:cs="Arial"/>
                <w:sz w:val="20"/>
                <w:szCs w:val="20"/>
              </w:rPr>
            </w:pPr>
            <w:r>
              <w:rPr>
                <w:rFonts w:ascii="Arial" w:hAnsi="Arial" w:cs="Arial"/>
                <w:sz w:val="20"/>
                <w:szCs w:val="20"/>
              </w:rPr>
              <w:t>Outras receitas correntes</w:t>
            </w:r>
          </w:p>
        </w:tc>
        <w:tc>
          <w:tcPr>
            <w:tcW w:w="1418" w:type="dxa"/>
          </w:tcPr>
          <w:p w:rsidR="00B73E57" w:rsidRPr="0026351F" w:rsidRDefault="00ED59EC"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0,00</w:t>
            </w:r>
          </w:p>
        </w:tc>
        <w:tc>
          <w:tcPr>
            <w:tcW w:w="1842" w:type="dxa"/>
          </w:tcPr>
          <w:p w:rsidR="00B73E57" w:rsidRPr="0026351F" w:rsidRDefault="00A61972"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4.824,03</w:t>
            </w:r>
          </w:p>
        </w:tc>
        <w:tc>
          <w:tcPr>
            <w:tcW w:w="1872" w:type="dxa"/>
            <w:vAlign w:val="bottom"/>
          </w:tcPr>
          <w:p w:rsidR="00B73E57" w:rsidRPr="00B73E57" w:rsidRDefault="00A61972"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4.824,03</w:t>
            </w:r>
          </w:p>
        </w:tc>
      </w:tr>
      <w:tr w:rsidR="00B73E57" w:rsidRPr="00391DA1" w:rsidTr="007B30E3">
        <w:trPr>
          <w:trHeight w:val="255"/>
        </w:trPr>
        <w:tc>
          <w:tcPr>
            <w:cnfStyle w:val="001000000000" w:firstRow="0" w:lastRow="0" w:firstColumn="1" w:lastColumn="0" w:oddVBand="0" w:evenVBand="0" w:oddHBand="0" w:evenHBand="0" w:firstRowFirstColumn="0" w:firstRowLastColumn="0" w:lastRowFirstColumn="0" w:lastRowLastColumn="0"/>
            <w:tcW w:w="4111" w:type="dxa"/>
          </w:tcPr>
          <w:p w:rsidR="00B73E57" w:rsidRPr="00391DA1" w:rsidRDefault="00B73E57" w:rsidP="00B73E57">
            <w:pPr>
              <w:autoSpaceDE w:val="0"/>
              <w:autoSpaceDN w:val="0"/>
              <w:adjustRightInd w:val="0"/>
              <w:rPr>
                <w:rFonts w:ascii="Arial" w:hAnsi="Arial" w:cs="Arial"/>
                <w:b w:val="0"/>
                <w:sz w:val="20"/>
                <w:szCs w:val="20"/>
              </w:rPr>
            </w:pPr>
            <w:r w:rsidRPr="00391DA1">
              <w:rPr>
                <w:rFonts w:ascii="Arial" w:hAnsi="Arial" w:cs="Arial"/>
                <w:b w:val="0"/>
                <w:sz w:val="20"/>
                <w:szCs w:val="20"/>
              </w:rPr>
              <w:t>RECEITAS DE CAPITAL</w:t>
            </w:r>
          </w:p>
        </w:tc>
        <w:tc>
          <w:tcPr>
            <w:tcW w:w="1418" w:type="dxa"/>
          </w:tcPr>
          <w:p w:rsidR="00B73E57" w:rsidRPr="00391DA1" w:rsidRDefault="00A61972"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159.000,00</w:t>
            </w:r>
          </w:p>
        </w:tc>
        <w:tc>
          <w:tcPr>
            <w:tcW w:w="1842" w:type="dxa"/>
          </w:tcPr>
          <w:p w:rsidR="00B73E57" w:rsidRPr="00391DA1" w:rsidRDefault="00A61972"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100.000,00</w:t>
            </w:r>
          </w:p>
        </w:tc>
        <w:tc>
          <w:tcPr>
            <w:tcW w:w="1872" w:type="dxa"/>
            <w:vAlign w:val="bottom"/>
          </w:tcPr>
          <w:p w:rsidR="00B73E57" w:rsidRPr="00B73E57" w:rsidRDefault="00A61972"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-59.000,00</w:t>
            </w:r>
          </w:p>
        </w:tc>
      </w:tr>
      <w:tr w:rsidR="00B73E57" w:rsidRPr="00333898"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1" w:type="dxa"/>
          </w:tcPr>
          <w:p w:rsidR="00B73E57" w:rsidRDefault="00B73E57" w:rsidP="00B73E57">
            <w:pPr>
              <w:autoSpaceDE w:val="0"/>
              <w:autoSpaceDN w:val="0"/>
              <w:adjustRightInd w:val="0"/>
              <w:rPr>
                <w:rFonts w:ascii="Arial" w:hAnsi="Arial" w:cs="Arial"/>
                <w:sz w:val="20"/>
                <w:szCs w:val="20"/>
              </w:rPr>
            </w:pPr>
            <w:r>
              <w:rPr>
                <w:rFonts w:ascii="Arial" w:hAnsi="Arial" w:cs="Arial"/>
                <w:sz w:val="20"/>
                <w:szCs w:val="20"/>
              </w:rPr>
              <w:t>Transferência de capital</w:t>
            </w:r>
          </w:p>
        </w:tc>
        <w:tc>
          <w:tcPr>
            <w:tcW w:w="1418" w:type="dxa"/>
          </w:tcPr>
          <w:p w:rsidR="00B73E57" w:rsidRPr="0026351F" w:rsidRDefault="00A61972"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159.000,00</w:t>
            </w:r>
          </w:p>
        </w:tc>
        <w:tc>
          <w:tcPr>
            <w:tcW w:w="1842" w:type="dxa"/>
          </w:tcPr>
          <w:p w:rsidR="00B73E57" w:rsidRPr="0026351F" w:rsidRDefault="00A61972"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100.000,00</w:t>
            </w:r>
          </w:p>
        </w:tc>
        <w:tc>
          <w:tcPr>
            <w:tcW w:w="1872" w:type="dxa"/>
            <w:vAlign w:val="bottom"/>
          </w:tcPr>
          <w:p w:rsidR="00B73E57" w:rsidRPr="00B73E57" w:rsidRDefault="00A61972" w:rsidP="00B73E5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-59.000,00</w:t>
            </w:r>
          </w:p>
        </w:tc>
      </w:tr>
      <w:tr w:rsidR="00B73E57" w:rsidRPr="00333898" w:rsidTr="007B30E3">
        <w:trPr>
          <w:trHeight w:val="255"/>
        </w:trPr>
        <w:tc>
          <w:tcPr>
            <w:cnfStyle w:val="001000000000" w:firstRow="0" w:lastRow="0" w:firstColumn="1" w:lastColumn="0" w:oddVBand="0" w:evenVBand="0" w:oddHBand="0" w:evenHBand="0" w:firstRowFirstColumn="0" w:firstRowLastColumn="0" w:lastRowFirstColumn="0" w:lastRowLastColumn="0"/>
            <w:tcW w:w="4111" w:type="dxa"/>
          </w:tcPr>
          <w:p w:rsidR="00B73E57" w:rsidRPr="002B7B6D" w:rsidRDefault="00B73E57" w:rsidP="00B73E57">
            <w:pPr>
              <w:autoSpaceDE w:val="0"/>
              <w:autoSpaceDN w:val="0"/>
              <w:adjustRightInd w:val="0"/>
              <w:rPr>
                <w:rFonts w:ascii="Arial" w:hAnsi="Arial" w:cs="Arial"/>
                <w:b w:val="0"/>
                <w:sz w:val="20"/>
                <w:szCs w:val="20"/>
              </w:rPr>
            </w:pPr>
            <w:r w:rsidRPr="002B7B6D">
              <w:rPr>
                <w:rFonts w:ascii="Arial" w:hAnsi="Arial" w:cs="Arial"/>
                <w:b w:val="0"/>
                <w:sz w:val="20"/>
                <w:szCs w:val="20"/>
              </w:rPr>
              <w:t>TOTAL</w:t>
            </w:r>
          </w:p>
        </w:tc>
        <w:tc>
          <w:tcPr>
            <w:tcW w:w="1418" w:type="dxa"/>
          </w:tcPr>
          <w:p w:rsidR="00B73E57" w:rsidRPr="002B7B6D" w:rsidRDefault="00A61972"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866.492,44</w:t>
            </w:r>
          </w:p>
        </w:tc>
        <w:tc>
          <w:tcPr>
            <w:tcW w:w="1842" w:type="dxa"/>
          </w:tcPr>
          <w:p w:rsidR="00B73E57" w:rsidRPr="002B7B6D" w:rsidRDefault="00A61972"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1.486.572,39</w:t>
            </w:r>
          </w:p>
        </w:tc>
        <w:tc>
          <w:tcPr>
            <w:tcW w:w="1872" w:type="dxa"/>
            <w:vAlign w:val="bottom"/>
          </w:tcPr>
          <w:p w:rsidR="00B73E57" w:rsidRPr="00B73E57" w:rsidRDefault="00A61972" w:rsidP="00B73E5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620.079,95</w:t>
            </w:r>
          </w:p>
        </w:tc>
      </w:tr>
    </w:tbl>
    <w:p w:rsidR="00391DA1" w:rsidRDefault="00391DA1" w:rsidP="003A6484">
      <w:pPr>
        <w:spacing w:after="0" w:line="240" w:lineRule="auto"/>
        <w:jc w:val="both"/>
        <w:rPr>
          <w:rFonts w:ascii="Arial" w:hAnsi="Arial" w:cs="Arial"/>
          <w:bCs/>
          <w:sz w:val="24"/>
          <w:szCs w:val="24"/>
        </w:rPr>
      </w:pPr>
    </w:p>
    <w:p w:rsidR="002A59D0" w:rsidRDefault="008A3226" w:rsidP="003A6484">
      <w:pPr>
        <w:spacing w:after="0" w:line="240" w:lineRule="auto"/>
        <w:jc w:val="both"/>
        <w:rPr>
          <w:rFonts w:ascii="Arial" w:hAnsi="Arial" w:cs="Arial"/>
          <w:bCs/>
          <w:sz w:val="24"/>
          <w:szCs w:val="24"/>
        </w:rPr>
      </w:pPr>
      <w:r w:rsidRPr="00D67767">
        <w:rPr>
          <w:rFonts w:ascii="Arial" w:hAnsi="Arial" w:cs="Arial"/>
          <w:bCs/>
          <w:sz w:val="24"/>
          <w:szCs w:val="24"/>
        </w:rPr>
        <w:t>Em análise ao Balanço Orçamentário</w:t>
      </w:r>
      <w:r w:rsidR="0047544C">
        <w:rPr>
          <w:rFonts w:ascii="Arial" w:hAnsi="Arial" w:cs="Arial"/>
          <w:bCs/>
          <w:sz w:val="24"/>
          <w:szCs w:val="24"/>
        </w:rPr>
        <w:t>, pode-se observar que as receitas</w:t>
      </w:r>
      <w:r w:rsidR="00926C45">
        <w:rPr>
          <w:rFonts w:ascii="Arial" w:hAnsi="Arial" w:cs="Arial"/>
          <w:bCs/>
          <w:sz w:val="24"/>
          <w:szCs w:val="24"/>
        </w:rPr>
        <w:t xml:space="preserve"> de Impostos, tax</w:t>
      </w:r>
      <w:r w:rsidR="002A59D0">
        <w:rPr>
          <w:rFonts w:ascii="Arial" w:hAnsi="Arial" w:cs="Arial"/>
          <w:bCs/>
          <w:sz w:val="24"/>
          <w:szCs w:val="24"/>
        </w:rPr>
        <w:t>as e contribuições e as receitas</w:t>
      </w:r>
      <w:r w:rsidR="0047544C">
        <w:rPr>
          <w:rFonts w:ascii="Arial" w:hAnsi="Arial" w:cs="Arial"/>
          <w:bCs/>
          <w:sz w:val="24"/>
          <w:szCs w:val="24"/>
        </w:rPr>
        <w:t xml:space="preserve"> patrimoniais obtiveram </w:t>
      </w:r>
      <w:r w:rsidR="00250B2B">
        <w:rPr>
          <w:rFonts w:ascii="Arial" w:hAnsi="Arial" w:cs="Arial"/>
          <w:bCs/>
          <w:sz w:val="24"/>
          <w:szCs w:val="24"/>
        </w:rPr>
        <w:t>insuficiência</w:t>
      </w:r>
      <w:r w:rsidR="0047544C">
        <w:rPr>
          <w:rFonts w:ascii="Arial" w:hAnsi="Arial" w:cs="Arial"/>
          <w:bCs/>
          <w:sz w:val="24"/>
          <w:szCs w:val="24"/>
        </w:rPr>
        <w:t xml:space="preserve"> de </w:t>
      </w:r>
      <w:r w:rsidR="0047544C">
        <w:rPr>
          <w:rFonts w:ascii="Arial" w:hAnsi="Arial" w:cs="Arial"/>
          <w:bCs/>
          <w:sz w:val="24"/>
          <w:szCs w:val="24"/>
        </w:rPr>
        <w:lastRenderedPageBreak/>
        <w:t>arrecadação</w:t>
      </w:r>
      <w:r w:rsidR="005D16A7">
        <w:rPr>
          <w:rFonts w:ascii="Arial" w:hAnsi="Arial" w:cs="Arial"/>
          <w:bCs/>
          <w:sz w:val="24"/>
          <w:szCs w:val="24"/>
        </w:rPr>
        <w:t xml:space="preserve"> d</w:t>
      </w:r>
      <w:r w:rsidR="002A59D0">
        <w:rPr>
          <w:rFonts w:ascii="Arial" w:hAnsi="Arial" w:cs="Arial"/>
          <w:bCs/>
          <w:sz w:val="24"/>
          <w:szCs w:val="24"/>
        </w:rPr>
        <w:t xml:space="preserve">e </w:t>
      </w:r>
      <w:r w:rsidR="0047544C">
        <w:rPr>
          <w:rFonts w:ascii="Arial" w:hAnsi="Arial" w:cs="Arial"/>
          <w:bCs/>
          <w:sz w:val="24"/>
          <w:szCs w:val="24"/>
        </w:rPr>
        <w:t xml:space="preserve">R$ </w:t>
      </w:r>
      <w:r w:rsidR="005D16A7">
        <w:rPr>
          <w:rFonts w:ascii="Arial" w:hAnsi="Arial" w:cs="Arial"/>
          <w:bCs/>
          <w:sz w:val="24"/>
          <w:szCs w:val="24"/>
        </w:rPr>
        <w:t>219,88 e R$ 9.008,70</w:t>
      </w:r>
      <w:r w:rsidR="00855A6A">
        <w:rPr>
          <w:rFonts w:ascii="Arial" w:hAnsi="Arial" w:cs="Arial"/>
          <w:bCs/>
          <w:sz w:val="24"/>
          <w:szCs w:val="24"/>
        </w:rPr>
        <w:t>,</w:t>
      </w:r>
      <w:r w:rsidR="005D16A7">
        <w:rPr>
          <w:rFonts w:ascii="Arial" w:hAnsi="Arial" w:cs="Arial"/>
          <w:bCs/>
          <w:sz w:val="24"/>
          <w:szCs w:val="24"/>
        </w:rPr>
        <w:t xml:space="preserve"> respectivamente</w:t>
      </w:r>
      <w:r w:rsidR="0047544C">
        <w:rPr>
          <w:rFonts w:ascii="Arial" w:hAnsi="Arial" w:cs="Arial"/>
          <w:bCs/>
          <w:sz w:val="24"/>
          <w:szCs w:val="24"/>
        </w:rPr>
        <w:t xml:space="preserve">. As transferências correntes recebidas, por sua vez, resultaram em excesso de R$ </w:t>
      </w:r>
      <w:r w:rsidR="00491A6C">
        <w:rPr>
          <w:rFonts w:ascii="Arial" w:hAnsi="Arial" w:cs="Arial"/>
          <w:bCs/>
          <w:sz w:val="24"/>
          <w:szCs w:val="24"/>
        </w:rPr>
        <w:t>683.484,50</w:t>
      </w:r>
      <w:r w:rsidR="00250B2B">
        <w:rPr>
          <w:rFonts w:ascii="Arial" w:hAnsi="Arial" w:cs="Arial"/>
          <w:bCs/>
          <w:sz w:val="24"/>
          <w:szCs w:val="24"/>
        </w:rPr>
        <w:t xml:space="preserve"> e as outras receitas correntes R$ </w:t>
      </w:r>
      <w:r w:rsidR="00491A6C">
        <w:rPr>
          <w:rFonts w:ascii="Arial" w:hAnsi="Arial" w:cs="Arial"/>
          <w:bCs/>
          <w:sz w:val="24"/>
          <w:szCs w:val="24"/>
        </w:rPr>
        <w:t>4.824,03</w:t>
      </w:r>
      <w:r w:rsidR="0047544C">
        <w:rPr>
          <w:rFonts w:ascii="Arial" w:hAnsi="Arial" w:cs="Arial"/>
          <w:bCs/>
          <w:sz w:val="24"/>
          <w:szCs w:val="24"/>
        </w:rPr>
        <w:t xml:space="preserve">. </w:t>
      </w:r>
    </w:p>
    <w:p w:rsidR="002A59D0" w:rsidRDefault="002A59D0" w:rsidP="003A6484">
      <w:pPr>
        <w:spacing w:after="0" w:line="240" w:lineRule="auto"/>
        <w:jc w:val="both"/>
        <w:rPr>
          <w:rFonts w:ascii="Arial" w:hAnsi="Arial" w:cs="Arial"/>
          <w:bCs/>
          <w:sz w:val="24"/>
          <w:szCs w:val="24"/>
        </w:rPr>
      </w:pPr>
    </w:p>
    <w:p w:rsidR="0047544C" w:rsidRDefault="009E120F" w:rsidP="003A6484">
      <w:pPr>
        <w:spacing w:after="0" w:line="240" w:lineRule="auto"/>
        <w:jc w:val="both"/>
        <w:rPr>
          <w:rFonts w:ascii="Arial" w:hAnsi="Arial" w:cs="Arial"/>
          <w:bCs/>
          <w:sz w:val="24"/>
          <w:szCs w:val="24"/>
        </w:rPr>
      </w:pPr>
      <w:r>
        <w:rPr>
          <w:rFonts w:ascii="Arial" w:hAnsi="Arial" w:cs="Arial"/>
          <w:bCs/>
          <w:sz w:val="24"/>
          <w:szCs w:val="24"/>
        </w:rPr>
        <w:t>O Fundo Municipal de Saúde</w:t>
      </w:r>
      <w:r w:rsidR="00857AD3">
        <w:rPr>
          <w:rFonts w:ascii="Arial" w:hAnsi="Arial" w:cs="Arial"/>
          <w:bCs/>
          <w:sz w:val="24"/>
          <w:szCs w:val="24"/>
        </w:rPr>
        <w:t xml:space="preserve"> apresentou insuficiência de </w:t>
      </w:r>
      <w:r w:rsidR="0047544C">
        <w:rPr>
          <w:rFonts w:ascii="Arial" w:hAnsi="Arial" w:cs="Arial"/>
          <w:bCs/>
          <w:sz w:val="24"/>
          <w:szCs w:val="24"/>
        </w:rPr>
        <w:t xml:space="preserve">receita de </w:t>
      </w:r>
      <w:r w:rsidR="00250B2B">
        <w:rPr>
          <w:rFonts w:ascii="Arial" w:hAnsi="Arial" w:cs="Arial"/>
          <w:bCs/>
          <w:sz w:val="24"/>
          <w:szCs w:val="24"/>
        </w:rPr>
        <w:t>capital</w:t>
      </w:r>
      <w:r w:rsidR="0047544C">
        <w:rPr>
          <w:rFonts w:ascii="Arial" w:hAnsi="Arial" w:cs="Arial"/>
          <w:bCs/>
          <w:sz w:val="24"/>
          <w:szCs w:val="24"/>
        </w:rPr>
        <w:t xml:space="preserve"> </w:t>
      </w:r>
      <w:r w:rsidR="00B73E57">
        <w:rPr>
          <w:rFonts w:ascii="Arial" w:hAnsi="Arial" w:cs="Arial"/>
          <w:bCs/>
          <w:sz w:val="24"/>
          <w:szCs w:val="24"/>
        </w:rPr>
        <w:t xml:space="preserve">no montante de R$ </w:t>
      </w:r>
      <w:r w:rsidR="00857AD3">
        <w:rPr>
          <w:rFonts w:ascii="Arial" w:hAnsi="Arial" w:cs="Arial"/>
          <w:bCs/>
          <w:sz w:val="24"/>
          <w:szCs w:val="24"/>
        </w:rPr>
        <w:t>59.000,00</w:t>
      </w:r>
      <w:r w:rsidR="00B73E57">
        <w:rPr>
          <w:rFonts w:ascii="Arial" w:hAnsi="Arial" w:cs="Arial"/>
          <w:bCs/>
          <w:sz w:val="24"/>
          <w:szCs w:val="24"/>
        </w:rPr>
        <w:t>.</w:t>
      </w:r>
    </w:p>
    <w:p w:rsidR="0026351F" w:rsidRDefault="0026351F" w:rsidP="003A6484">
      <w:pPr>
        <w:spacing w:after="0" w:line="240" w:lineRule="auto"/>
        <w:jc w:val="both"/>
        <w:rPr>
          <w:rFonts w:ascii="Arial" w:hAnsi="Arial" w:cs="Arial"/>
          <w:bCs/>
          <w:sz w:val="24"/>
          <w:szCs w:val="24"/>
        </w:rPr>
      </w:pPr>
    </w:p>
    <w:p w:rsidR="00391DA1" w:rsidRDefault="00855A6A" w:rsidP="000842D3">
      <w:pPr>
        <w:spacing w:after="0" w:line="240" w:lineRule="auto"/>
        <w:jc w:val="both"/>
        <w:rPr>
          <w:rFonts w:ascii="Arial" w:hAnsi="Arial" w:cs="Arial"/>
          <w:bCs/>
          <w:sz w:val="24"/>
          <w:szCs w:val="24"/>
        </w:rPr>
      </w:pPr>
      <w:r>
        <w:rPr>
          <w:rFonts w:ascii="Arial" w:hAnsi="Arial" w:cs="Arial"/>
          <w:bCs/>
          <w:sz w:val="24"/>
          <w:szCs w:val="24"/>
        </w:rPr>
        <w:t>Em resumo, o resultado orçamentário do FMS é de R$ 620.079,95, de excesso de arrecadação no ano de 2019.</w:t>
      </w:r>
    </w:p>
    <w:p w:rsidR="00855A6A" w:rsidRDefault="00855A6A" w:rsidP="000842D3">
      <w:pPr>
        <w:spacing w:after="0" w:line="240" w:lineRule="auto"/>
        <w:jc w:val="both"/>
        <w:rPr>
          <w:rFonts w:ascii="Arial" w:hAnsi="Arial" w:cs="Arial"/>
          <w:bCs/>
          <w:sz w:val="24"/>
          <w:szCs w:val="24"/>
        </w:rPr>
      </w:pPr>
    </w:p>
    <w:p w:rsidR="00855A6A" w:rsidRDefault="00855A6A" w:rsidP="000842D3">
      <w:pPr>
        <w:spacing w:after="0" w:line="240" w:lineRule="auto"/>
        <w:jc w:val="both"/>
        <w:rPr>
          <w:rFonts w:ascii="Arial" w:hAnsi="Arial" w:cs="Arial"/>
          <w:bCs/>
          <w:sz w:val="24"/>
          <w:szCs w:val="24"/>
        </w:rPr>
      </w:pPr>
    </w:p>
    <w:p w:rsidR="00770D57" w:rsidRPr="00D510B2" w:rsidRDefault="008A3226" w:rsidP="00D510B2">
      <w:pPr>
        <w:pStyle w:val="PargrafodaLista"/>
        <w:numPr>
          <w:ilvl w:val="0"/>
          <w:numId w:val="24"/>
        </w:numPr>
        <w:spacing w:after="0" w:line="240" w:lineRule="auto"/>
        <w:ind w:left="426"/>
        <w:jc w:val="both"/>
        <w:rPr>
          <w:rFonts w:ascii="Arial" w:hAnsi="Arial" w:cs="Arial"/>
          <w:b/>
          <w:bCs/>
          <w:color w:val="215868" w:themeColor="accent5" w:themeShade="80"/>
          <w:sz w:val="24"/>
          <w:szCs w:val="24"/>
        </w:rPr>
      </w:pPr>
      <w:r w:rsidRPr="00D510B2">
        <w:rPr>
          <w:rFonts w:ascii="Arial" w:hAnsi="Arial" w:cs="Arial"/>
          <w:b/>
          <w:bCs/>
          <w:color w:val="215868" w:themeColor="accent5" w:themeShade="80"/>
          <w:sz w:val="24"/>
          <w:szCs w:val="24"/>
        </w:rPr>
        <w:t>Detalhamento das receitas e despesas intraorçamentárias</w:t>
      </w:r>
    </w:p>
    <w:p w:rsidR="00E20A03" w:rsidRPr="00770D57" w:rsidRDefault="00E20A03" w:rsidP="00770D57">
      <w:pPr>
        <w:spacing w:after="0" w:line="240" w:lineRule="auto"/>
        <w:jc w:val="both"/>
        <w:rPr>
          <w:rFonts w:ascii="Arial" w:hAnsi="Arial" w:cs="Arial"/>
          <w:bCs/>
          <w:sz w:val="24"/>
          <w:szCs w:val="24"/>
        </w:rPr>
      </w:pPr>
      <w:r w:rsidRPr="00770D57">
        <w:rPr>
          <w:rFonts w:ascii="Arial" w:hAnsi="Arial" w:cs="Arial"/>
          <w:bCs/>
          <w:sz w:val="24"/>
          <w:szCs w:val="24"/>
        </w:rPr>
        <w:t>Não houveram receitas e despesas intraorçamentária, apenas transferências intraorçamentárias:</w:t>
      </w:r>
    </w:p>
    <w:p w:rsidR="00E20A03" w:rsidRPr="00DD0B55" w:rsidRDefault="00E20A03" w:rsidP="00807064">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firstRow="1" w:lastRow="0" w:firstColumn="1" w:lastColumn="0" w:noHBand="0" w:noVBand="1"/>
      </w:tblPr>
      <w:tblGrid>
        <w:gridCol w:w="3369"/>
        <w:gridCol w:w="3402"/>
        <w:gridCol w:w="2301"/>
      </w:tblGrid>
      <w:tr w:rsidR="00E20A03" w:rsidRPr="00333898" w:rsidTr="007B30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9" w:type="dxa"/>
          </w:tcPr>
          <w:p w:rsidR="00E20A03" w:rsidRPr="007B30E3" w:rsidRDefault="007B30E3" w:rsidP="007B30E3">
            <w:pPr>
              <w:autoSpaceDE w:val="0"/>
              <w:autoSpaceDN w:val="0"/>
              <w:adjustRightInd w:val="0"/>
              <w:rPr>
                <w:rFonts w:ascii="Arial" w:hAnsi="Arial" w:cs="Arial"/>
                <w:color w:val="auto"/>
                <w:sz w:val="20"/>
                <w:szCs w:val="20"/>
              </w:rPr>
            </w:pPr>
            <w:r w:rsidRPr="007B30E3">
              <w:rPr>
                <w:rFonts w:ascii="Arial" w:hAnsi="Arial" w:cs="Arial"/>
                <w:color w:val="auto"/>
                <w:sz w:val="20"/>
                <w:szCs w:val="20"/>
              </w:rPr>
              <w:t>ENTIDADE CONCEDENTE</w:t>
            </w:r>
          </w:p>
        </w:tc>
        <w:tc>
          <w:tcPr>
            <w:tcW w:w="3402" w:type="dxa"/>
          </w:tcPr>
          <w:p w:rsidR="00E20A03" w:rsidRPr="007B30E3" w:rsidRDefault="007B30E3"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B30E3">
              <w:rPr>
                <w:rFonts w:ascii="Arial" w:hAnsi="Arial" w:cs="Arial"/>
                <w:color w:val="auto"/>
                <w:sz w:val="20"/>
                <w:szCs w:val="20"/>
              </w:rPr>
              <w:t>ENTIDADE RECEBEDORA</w:t>
            </w:r>
          </w:p>
        </w:tc>
        <w:tc>
          <w:tcPr>
            <w:tcW w:w="2301" w:type="dxa"/>
          </w:tcPr>
          <w:p w:rsidR="00E20A03" w:rsidRPr="007B30E3" w:rsidRDefault="007B30E3"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7B30E3">
              <w:rPr>
                <w:rFonts w:ascii="Arial" w:hAnsi="Arial" w:cs="Arial"/>
                <w:color w:val="auto"/>
                <w:sz w:val="20"/>
                <w:szCs w:val="20"/>
              </w:rPr>
              <w:t>VALOR</w:t>
            </w:r>
          </w:p>
        </w:tc>
      </w:tr>
      <w:tr w:rsidR="00E20A03" w:rsidRPr="0056497B"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9" w:type="dxa"/>
          </w:tcPr>
          <w:p w:rsidR="00E20A03" w:rsidRPr="007B30E3" w:rsidRDefault="00603641" w:rsidP="00807064">
            <w:pPr>
              <w:autoSpaceDE w:val="0"/>
              <w:autoSpaceDN w:val="0"/>
              <w:adjustRightInd w:val="0"/>
              <w:rPr>
                <w:rFonts w:ascii="Arial" w:hAnsi="Arial" w:cs="Arial"/>
                <w:sz w:val="20"/>
                <w:szCs w:val="20"/>
              </w:rPr>
            </w:pPr>
            <w:r w:rsidRPr="007B30E3">
              <w:rPr>
                <w:rFonts w:ascii="Arial" w:hAnsi="Arial" w:cs="Arial"/>
                <w:sz w:val="20"/>
                <w:szCs w:val="20"/>
              </w:rPr>
              <w:t>Prefeitu</w:t>
            </w:r>
            <w:r w:rsidR="00250B2B" w:rsidRPr="007B30E3">
              <w:rPr>
                <w:rFonts w:ascii="Arial" w:hAnsi="Arial" w:cs="Arial"/>
                <w:sz w:val="20"/>
                <w:szCs w:val="20"/>
              </w:rPr>
              <w:t>r</w:t>
            </w:r>
            <w:r w:rsidRPr="007B30E3">
              <w:rPr>
                <w:rFonts w:ascii="Arial" w:hAnsi="Arial" w:cs="Arial"/>
                <w:sz w:val="20"/>
                <w:szCs w:val="20"/>
              </w:rPr>
              <w:t>a</w:t>
            </w:r>
          </w:p>
        </w:tc>
        <w:tc>
          <w:tcPr>
            <w:tcW w:w="3402" w:type="dxa"/>
          </w:tcPr>
          <w:p w:rsidR="00E20A03" w:rsidRPr="007B30E3" w:rsidRDefault="00E20A03" w:rsidP="008070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30E3">
              <w:rPr>
                <w:rFonts w:ascii="Arial" w:hAnsi="Arial" w:cs="Arial"/>
                <w:sz w:val="20"/>
                <w:szCs w:val="20"/>
              </w:rPr>
              <w:t>Fundo Municipal de Saúde</w:t>
            </w:r>
          </w:p>
        </w:tc>
        <w:tc>
          <w:tcPr>
            <w:tcW w:w="2301" w:type="dxa"/>
          </w:tcPr>
          <w:p w:rsidR="00E20A03" w:rsidRPr="007B30E3" w:rsidRDefault="003324B7" w:rsidP="0080706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30E3">
              <w:rPr>
                <w:rFonts w:ascii="Arial" w:hAnsi="Arial" w:cs="Arial"/>
                <w:sz w:val="20"/>
                <w:szCs w:val="20"/>
              </w:rPr>
              <w:t>2.402.727,79</w:t>
            </w:r>
          </w:p>
        </w:tc>
      </w:tr>
    </w:tbl>
    <w:p w:rsidR="00E20A03" w:rsidRPr="00DD0B55" w:rsidRDefault="00E20A03" w:rsidP="00807064">
      <w:pPr>
        <w:autoSpaceDE w:val="0"/>
        <w:autoSpaceDN w:val="0"/>
        <w:adjustRightInd w:val="0"/>
        <w:spacing w:after="0" w:line="240" w:lineRule="auto"/>
        <w:jc w:val="both"/>
        <w:rPr>
          <w:rFonts w:ascii="Arial" w:hAnsi="Arial" w:cs="Arial"/>
        </w:rPr>
      </w:pPr>
    </w:p>
    <w:p w:rsidR="00603641" w:rsidRDefault="00603641" w:rsidP="008C17F7">
      <w:pPr>
        <w:spacing w:after="0" w:line="240" w:lineRule="auto"/>
        <w:jc w:val="both"/>
        <w:rPr>
          <w:rFonts w:ascii="Arial" w:hAnsi="Arial" w:cs="Arial"/>
          <w:b/>
          <w:bCs/>
          <w:color w:val="215868" w:themeColor="accent5" w:themeShade="80"/>
          <w:sz w:val="24"/>
          <w:szCs w:val="24"/>
        </w:rPr>
      </w:pPr>
    </w:p>
    <w:p w:rsidR="008A3226" w:rsidRPr="00D508EF" w:rsidRDefault="008A3226" w:rsidP="008C17F7">
      <w:pPr>
        <w:spacing w:after="0" w:line="240" w:lineRule="auto"/>
        <w:jc w:val="both"/>
        <w:rPr>
          <w:rFonts w:ascii="Arial" w:hAnsi="Arial" w:cs="Arial"/>
          <w:b/>
          <w:bCs/>
          <w:color w:val="215868" w:themeColor="accent5" w:themeShade="80"/>
          <w:sz w:val="24"/>
          <w:szCs w:val="24"/>
        </w:rPr>
      </w:pPr>
      <w:r w:rsidRPr="00D508EF">
        <w:rPr>
          <w:rFonts w:ascii="Arial" w:hAnsi="Arial" w:cs="Arial"/>
          <w:b/>
          <w:bCs/>
          <w:color w:val="215868" w:themeColor="accent5" w:themeShade="80"/>
          <w:sz w:val="24"/>
          <w:szCs w:val="24"/>
        </w:rPr>
        <w:t>3 Utilização do superávit financeiro e da reabertura de créditos especiais e extraordinários</w:t>
      </w:r>
    </w:p>
    <w:p w:rsidR="00E20A03" w:rsidRPr="003E661C" w:rsidRDefault="00E20A03" w:rsidP="008C17F7">
      <w:pPr>
        <w:autoSpaceDE w:val="0"/>
        <w:autoSpaceDN w:val="0"/>
        <w:adjustRightInd w:val="0"/>
        <w:spacing w:after="0" w:line="240" w:lineRule="auto"/>
        <w:jc w:val="both"/>
        <w:rPr>
          <w:rFonts w:ascii="Arial" w:hAnsi="Arial" w:cs="Arial"/>
        </w:rPr>
      </w:pPr>
      <w:r w:rsidRPr="003E661C">
        <w:rPr>
          <w:rFonts w:ascii="Arial" w:hAnsi="Arial" w:cs="Arial"/>
        </w:rPr>
        <w:t>Foram utilizados R$</w:t>
      </w:r>
      <w:r w:rsidR="003E661C" w:rsidRPr="003E661C">
        <w:rPr>
          <w:rFonts w:ascii="Arial" w:hAnsi="Arial" w:cs="Arial"/>
        </w:rPr>
        <w:t xml:space="preserve"> </w:t>
      </w:r>
      <w:r w:rsidR="007C4E12" w:rsidRPr="003E661C">
        <w:rPr>
          <w:rFonts w:ascii="Arial" w:hAnsi="Arial" w:cs="Arial"/>
        </w:rPr>
        <w:t>559.455,26</w:t>
      </w:r>
      <w:r w:rsidR="002A59D0" w:rsidRPr="003E661C">
        <w:rPr>
          <w:rFonts w:ascii="Arial" w:hAnsi="Arial" w:cs="Arial"/>
        </w:rPr>
        <w:t>,</w:t>
      </w:r>
      <w:r w:rsidRPr="003E661C">
        <w:rPr>
          <w:rFonts w:ascii="Arial" w:hAnsi="Arial" w:cs="Arial"/>
        </w:rPr>
        <w:t xml:space="preserve"> em recursos de superávit financeiro para abertura de créditos adicionais no exercício</w:t>
      </w:r>
      <w:r w:rsidR="00C37F58" w:rsidRPr="003E661C">
        <w:rPr>
          <w:rFonts w:ascii="Arial" w:hAnsi="Arial" w:cs="Arial"/>
        </w:rPr>
        <w:t xml:space="preserve"> de 201</w:t>
      </w:r>
      <w:r w:rsidR="000D45B7" w:rsidRPr="003E661C">
        <w:rPr>
          <w:rFonts w:ascii="Arial" w:hAnsi="Arial" w:cs="Arial"/>
        </w:rPr>
        <w:t>9</w:t>
      </w:r>
      <w:r w:rsidRPr="003E661C">
        <w:rPr>
          <w:rFonts w:ascii="Arial" w:hAnsi="Arial" w:cs="Arial"/>
        </w:rPr>
        <w:t xml:space="preserve">. </w:t>
      </w:r>
    </w:p>
    <w:p w:rsidR="00E20A03" w:rsidRPr="003E661C" w:rsidRDefault="00E20A03" w:rsidP="008C17F7">
      <w:pPr>
        <w:autoSpaceDE w:val="0"/>
        <w:autoSpaceDN w:val="0"/>
        <w:adjustRightInd w:val="0"/>
        <w:spacing w:after="0" w:line="240" w:lineRule="auto"/>
        <w:jc w:val="both"/>
        <w:rPr>
          <w:rFonts w:ascii="Arial" w:hAnsi="Arial" w:cs="Arial"/>
        </w:rPr>
      </w:pPr>
    </w:p>
    <w:p w:rsidR="00E20A03" w:rsidRPr="003E661C" w:rsidRDefault="00E20A03" w:rsidP="008C17F7">
      <w:pPr>
        <w:autoSpaceDE w:val="0"/>
        <w:autoSpaceDN w:val="0"/>
        <w:adjustRightInd w:val="0"/>
        <w:spacing w:after="0" w:line="240" w:lineRule="auto"/>
        <w:jc w:val="both"/>
        <w:rPr>
          <w:rFonts w:ascii="Arial" w:hAnsi="Arial" w:cs="Arial"/>
        </w:rPr>
      </w:pPr>
      <w:r w:rsidRPr="003E661C">
        <w:rPr>
          <w:rFonts w:ascii="Arial" w:hAnsi="Arial" w:cs="Arial"/>
        </w:rPr>
        <w:t>Foram utilizados R$</w:t>
      </w:r>
      <w:r w:rsidR="003E661C" w:rsidRPr="003E661C">
        <w:rPr>
          <w:rFonts w:ascii="Arial" w:hAnsi="Arial" w:cs="Arial"/>
        </w:rPr>
        <w:t xml:space="preserve"> 558.607,03</w:t>
      </w:r>
      <w:r w:rsidRPr="003E661C">
        <w:rPr>
          <w:rFonts w:ascii="Arial" w:hAnsi="Arial" w:cs="Arial"/>
        </w:rPr>
        <w:t xml:space="preserve"> em recursos de excesso de arrecadação para abertura de créditos adicionais no exercício de 201</w:t>
      </w:r>
      <w:r w:rsidR="000D45B7" w:rsidRPr="003E661C">
        <w:rPr>
          <w:rFonts w:ascii="Arial" w:hAnsi="Arial" w:cs="Arial"/>
        </w:rPr>
        <w:t>9</w:t>
      </w:r>
      <w:r w:rsidRPr="003E661C">
        <w:rPr>
          <w:rFonts w:ascii="Arial" w:hAnsi="Arial" w:cs="Arial"/>
        </w:rPr>
        <w:t xml:space="preserve">. </w:t>
      </w:r>
    </w:p>
    <w:p w:rsidR="00E20A03" w:rsidRPr="003E661C" w:rsidRDefault="00E20A03" w:rsidP="008C17F7">
      <w:pPr>
        <w:autoSpaceDE w:val="0"/>
        <w:autoSpaceDN w:val="0"/>
        <w:adjustRightInd w:val="0"/>
        <w:spacing w:after="0" w:line="240" w:lineRule="auto"/>
        <w:jc w:val="both"/>
        <w:rPr>
          <w:rFonts w:ascii="Arial" w:hAnsi="Arial" w:cs="Arial"/>
        </w:rPr>
      </w:pPr>
    </w:p>
    <w:p w:rsidR="00E20A03" w:rsidRPr="003E661C" w:rsidRDefault="00E20A03" w:rsidP="008C17F7">
      <w:pPr>
        <w:autoSpaceDE w:val="0"/>
        <w:autoSpaceDN w:val="0"/>
        <w:adjustRightInd w:val="0"/>
        <w:spacing w:after="0" w:line="240" w:lineRule="auto"/>
        <w:jc w:val="both"/>
        <w:rPr>
          <w:rFonts w:ascii="Arial" w:hAnsi="Arial" w:cs="Arial"/>
        </w:rPr>
      </w:pPr>
      <w:r w:rsidRPr="003E661C">
        <w:rPr>
          <w:rFonts w:ascii="Arial" w:hAnsi="Arial" w:cs="Arial"/>
        </w:rPr>
        <w:t>Não foram reabertos créditos adicionais no exercício.</w:t>
      </w:r>
    </w:p>
    <w:p w:rsidR="0026351F" w:rsidRDefault="0026351F" w:rsidP="0026351F">
      <w:pPr>
        <w:spacing w:after="0" w:line="240" w:lineRule="auto"/>
        <w:rPr>
          <w:rFonts w:ascii="Arial" w:hAnsi="Arial" w:cs="Arial"/>
          <w:b/>
          <w:bCs/>
          <w:color w:val="215868" w:themeColor="accent5" w:themeShade="80"/>
          <w:sz w:val="24"/>
          <w:szCs w:val="24"/>
        </w:rPr>
      </w:pPr>
    </w:p>
    <w:p w:rsidR="000A2774" w:rsidRDefault="000A2774" w:rsidP="0026351F">
      <w:pPr>
        <w:spacing w:after="0" w:line="240" w:lineRule="auto"/>
        <w:rPr>
          <w:rFonts w:ascii="Arial" w:hAnsi="Arial" w:cs="Arial"/>
          <w:b/>
          <w:bCs/>
          <w:color w:val="215868" w:themeColor="accent5" w:themeShade="80"/>
          <w:sz w:val="24"/>
          <w:szCs w:val="24"/>
        </w:rPr>
      </w:pPr>
    </w:p>
    <w:p w:rsidR="008A3226" w:rsidRDefault="008A3226" w:rsidP="000C46AF">
      <w:pPr>
        <w:spacing w:after="0" w:line="240" w:lineRule="auto"/>
        <w:jc w:val="both"/>
        <w:rPr>
          <w:rFonts w:ascii="Arial" w:hAnsi="Arial" w:cs="Arial"/>
          <w:b/>
          <w:bCs/>
          <w:color w:val="FF0000"/>
          <w:sz w:val="24"/>
          <w:szCs w:val="24"/>
        </w:rPr>
      </w:pPr>
      <w:r w:rsidRPr="00D508EF">
        <w:rPr>
          <w:rFonts w:ascii="Arial" w:hAnsi="Arial" w:cs="Arial"/>
          <w:b/>
          <w:bCs/>
          <w:color w:val="215868" w:themeColor="accent5" w:themeShade="80"/>
          <w:sz w:val="24"/>
          <w:szCs w:val="24"/>
        </w:rPr>
        <w:t>4 Detalhamento da execução das despesas – análise da dotação in</w:t>
      </w:r>
      <w:r w:rsidR="000C46AF">
        <w:rPr>
          <w:rFonts w:ascii="Arial" w:hAnsi="Arial" w:cs="Arial"/>
          <w:b/>
          <w:bCs/>
          <w:color w:val="215868" w:themeColor="accent5" w:themeShade="80"/>
          <w:sz w:val="24"/>
          <w:szCs w:val="24"/>
        </w:rPr>
        <w:t>icial versus dotação atualizada</w:t>
      </w:r>
    </w:p>
    <w:p w:rsidR="007E55ED" w:rsidRDefault="007E55ED" w:rsidP="0026351F">
      <w:pPr>
        <w:spacing w:after="0" w:line="240" w:lineRule="auto"/>
        <w:rPr>
          <w:rFonts w:ascii="Arial" w:hAnsi="Arial" w:cs="Arial"/>
          <w:b/>
          <w:bCs/>
          <w:color w:val="FF0000"/>
          <w:sz w:val="24"/>
          <w:szCs w:val="24"/>
        </w:rPr>
      </w:pPr>
    </w:p>
    <w:tbl>
      <w:tblPr>
        <w:tblStyle w:val="TabeladeGrade4-nfase52"/>
        <w:tblW w:w="0" w:type="auto"/>
        <w:tblInd w:w="108" w:type="dxa"/>
        <w:tblLook w:val="04A0" w:firstRow="1" w:lastRow="0" w:firstColumn="1" w:lastColumn="0" w:noHBand="0" w:noVBand="1"/>
      </w:tblPr>
      <w:tblGrid>
        <w:gridCol w:w="3139"/>
        <w:gridCol w:w="3074"/>
        <w:gridCol w:w="2967"/>
      </w:tblGrid>
      <w:tr w:rsidR="00C37F58" w:rsidTr="007B30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Pr>
          <w:p w:rsidR="00C37F58" w:rsidRPr="0026351F" w:rsidRDefault="00162900" w:rsidP="007B30E3">
            <w:pPr>
              <w:rPr>
                <w:rFonts w:ascii="Arial" w:hAnsi="Arial" w:cs="Arial"/>
                <w:bCs w:val="0"/>
                <w:color w:val="215868" w:themeColor="accent5" w:themeShade="80"/>
                <w:sz w:val="20"/>
                <w:szCs w:val="20"/>
              </w:rPr>
            </w:pPr>
            <w:r w:rsidRPr="0026351F">
              <w:rPr>
                <w:rFonts w:ascii="Arial" w:eastAsia="Times New Roman" w:hAnsi="Arial" w:cs="Arial"/>
                <w:color w:val="auto"/>
                <w:sz w:val="20"/>
                <w:szCs w:val="20"/>
                <w:lang w:eastAsia="pt-BR"/>
              </w:rPr>
              <w:t>DESPESAS ORÇAMENTÁRIAS</w:t>
            </w:r>
          </w:p>
        </w:tc>
        <w:tc>
          <w:tcPr>
            <w:tcW w:w="3074" w:type="dxa"/>
          </w:tcPr>
          <w:p w:rsidR="00C37F58" w:rsidRPr="0026351F" w:rsidRDefault="00C37F58" w:rsidP="007B30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26351F">
              <w:rPr>
                <w:rFonts w:ascii="Arial" w:eastAsia="Times New Roman" w:hAnsi="Arial" w:cs="Arial"/>
                <w:color w:val="auto"/>
                <w:sz w:val="20"/>
                <w:szCs w:val="20"/>
                <w:lang w:eastAsia="pt-BR"/>
              </w:rPr>
              <w:t>DOTAÇÃO INICIAL</w:t>
            </w:r>
          </w:p>
        </w:tc>
        <w:tc>
          <w:tcPr>
            <w:tcW w:w="2967" w:type="dxa"/>
          </w:tcPr>
          <w:p w:rsidR="00C37F58" w:rsidRPr="0026351F" w:rsidRDefault="00C37F58" w:rsidP="007B30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26351F">
              <w:rPr>
                <w:rFonts w:ascii="Arial" w:eastAsia="Times New Roman" w:hAnsi="Arial" w:cs="Arial"/>
                <w:color w:val="auto"/>
                <w:sz w:val="20"/>
                <w:szCs w:val="20"/>
                <w:lang w:eastAsia="pt-BR"/>
              </w:rPr>
              <w:t>DOTAÇÃO ATUALIZADA</w:t>
            </w:r>
          </w:p>
        </w:tc>
      </w:tr>
      <w:tr w:rsidR="00162900" w:rsidRPr="00162900"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Pr>
          <w:p w:rsidR="00C37F58" w:rsidRPr="0026351F" w:rsidRDefault="00C37F58" w:rsidP="00C37F58">
            <w:pPr>
              <w:rPr>
                <w:rFonts w:ascii="Arial" w:eastAsia="Times New Roman" w:hAnsi="Arial" w:cs="Arial"/>
                <w:sz w:val="20"/>
                <w:szCs w:val="20"/>
                <w:lang w:eastAsia="pt-BR"/>
              </w:rPr>
            </w:pPr>
            <w:r w:rsidRPr="0026351F">
              <w:rPr>
                <w:rFonts w:ascii="Arial" w:eastAsia="Times New Roman" w:hAnsi="Arial" w:cs="Arial"/>
                <w:sz w:val="20"/>
                <w:szCs w:val="20"/>
                <w:lang w:eastAsia="pt-BR"/>
              </w:rPr>
              <w:t>DESPESAS CORRENTES</w:t>
            </w:r>
          </w:p>
        </w:tc>
        <w:tc>
          <w:tcPr>
            <w:tcW w:w="3074" w:type="dxa"/>
          </w:tcPr>
          <w:p w:rsidR="00C37F58" w:rsidRPr="0026351F" w:rsidRDefault="003324B7" w:rsidP="0016290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2.795.000,00</w:t>
            </w:r>
          </w:p>
        </w:tc>
        <w:tc>
          <w:tcPr>
            <w:tcW w:w="2967" w:type="dxa"/>
          </w:tcPr>
          <w:p w:rsidR="00C37F58" w:rsidRPr="0026351F" w:rsidRDefault="003324B7" w:rsidP="00162900">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3.628.534,76</w:t>
            </w:r>
          </w:p>
        </w:tc>
      </w:tr>
      <w:tr w:rsidR="00162900" w:rsidRPr="00162900" w:rsidTr="007B30E3">
        <w:trPr>
          <w:trHeight w:val="255"/>
        </w:trPr>
        <w:tc>
          <w:tcPr>
            <w:cnfStyle w:val="001000000000" w:firstRow="0" w:lastRow="0" w:firstColumn="1" w:lastColumn="0" w:oddVBand="0" w:evenVBand="0" w:oddHBand="0" w:evenHBand="0" w:firstRowFirstColumn="0" w:firstRowLastColumn="0" w:lastRowFirstColumn="0" w:lastRowLastColumn="0"/>
            <w:tcW w:w="3139" w:type="dxa"/>
          </w:tcPr>
          <w:p w:rsidR="00C37F58" w:rsidRPr="0026351F" w:rsidRDefault="00C37F58" w:rsidP="00C37F58">
            <w:pPr>
              <w:rPr>
                <w:rFonts w:ascii="Arial" w:eastAsia="Times New Roman" w:hAnsi="Arial" w:cs="Arial"/>
                <w:b w:val="0"/>
                <w:sz w:val="20"/>
                <w:szCs w:val="20"/>
                <w:lang w:eastAsia="pt-BR"/>
              </w:rPr>
            </w:pPr>
            <w:r w:rsidRPr="0026351F">
              <w:rPr>
                <w:rFonts w:ascii="Arial" w:eastAsia="Times New Roman" w:hAnsi="Arial" w:cs="Arial"/>
                <w:b w:val="0"/>
                <w:sz w:val="20"/>
                <w:szCs w:val="20"/>
                <w:lang w:eastAsia="pt-BR"/>
              </w:rPr>
              <w:t>Pessoal e encargos sociais</w:t>
            </w:r>
          </w:p>
        </w:tc>
        <w:tc>
          <w:tcPr>
            <w:tcW w:w="3074" w:type="dxa"/>
          </w:tcPr>
          <w:p w:rsidR="00C37F58" w:rsidRPr="0026351F" w:rsidRDefault="003324B7" w:rsidP="00162900">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1.418.240,00</w:t>
            </w:r>
          </w:p>
        </w:tc>
        <w:tc>
          <w:tcPr>
            <w:tcW w:w="2967" w:type="dxa"/>
          </w:tcPr>
          <w:p w:rsidR="00C37F58" w:rsidRPr="0026351F" w:rsidRDefault="003324B7" w:rsidP="00162900">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1.757.755,12</w:t>
            </w:r>
          </w:p>
        </w:tc>
      </w:tr>
      <w:tr w:rsidR="00162900" w:rsidRPr="00162900"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Pr>
          <w:p w:rsidR="00C37F58" w:rsidRPr="0026351F" w:rsidRDefault="00C37F58" w:rsidP="00C37F58">
            <w:pPr>
              <w:rPr>
                <w:rFonts w:ascii="Arial" w:eastAsia="Times New Roman" w:hAnsi="Arial" w:cs="Arial"/>
                <w:b w:val="0"/>
                <w:sz w:val="20"/>
                <w:szCs w:val="20"/>
                <w:lang w:eastAsia="pt-BR"/>
              </w:rPr>
            </w:pPr>
            <w:r w:rsidRPr="0026351F">
              <w:rPr>
                <w:rFonts w:ascii="Arial" w:eastAsia="Times New Roman" w:hAnsi="Arial" w:cs="Arial"/>
                <w:b w:val="0"/>
                <w:sz w:val="20"/>
                <w:szCs w:val="20"/>
                <w:lang w:eastAsia="pt-BR"/>
              </w:rPr>
              <w:t>Outras despesas correntes</w:t>
            </w:r>
          </w:p>
        </w:tc>
        <w:tc>
          <w:tcPr>
            <w:tcW w:w="3074" w:type="dxa"/>
          </w:tcPr>
          <w:p w:rsidR="00C37F58" w:rsidRPr="0026351F" w:rsidRDefault="003324B7" w:rsidP="00162900">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1.376.760,00</w:t>
            </w:r>
          </w:p>
        </w:tc>
        <w:tc>
          <w:tcPr>
            <w:tcW w:w="2967" w:type="dxa"/>
          </w:tcPr>
          <w:p w:rsidR="00C37F58" w:rsidRPr="0026351F" w:rsidRDefault="003324B7" w:rsidP="00162900">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1.870.779,64</w:t>
            </w:r>
          </w:p>
        </w:tc>
      </w:tr>
      <w:tr w:rsidR="00162900" w:rsidRPr="00162900" w:rsidTr="007B30E3">
        <w:trPr>
          <w:trHeight w:val="255"/>
        </w:trPr>
        <w:tc>
          <w:tcPr>
            <w:cnfStyle w:val="001000000000" w:firstRow="0" w:lastRow="0" w:firstColumn="1" w:lastColumn="0" w:oddVBand="0" w:evenVBand="0" w:oddHBand="0" w:evenHBand="0" w:firstRowFirstColumn="0" w:firstRowLastColumn="0" w:lastRowFirstColumn="0" w:lastRowLastColumn="0"/>
            <w:tcW w:w="3139" w:type="dxa"/>
          </w:tcPr>
          <w:p w:rsidR="00C37F58" w:rsidRPr="0026351F" w:rsidRDefault="00C37F58" w:rsidP="00C37F58">
            <w:pPr>
              <w:rPr>
                <w:rFonts w:ascii="Arial" w:eastAsia="Times New Roman" w:hAnsi="Arial" w:cs="Arial"/>
                <w:sz w:val="20"/>
                <w:szCs w:val="20"/>
                <w:lang w:eastAsia="pt-BR"/>
              </w:rPr>
            </w:pPr>
            <w:r w:rsidRPr="0026351F">
              <w:rPr>
                <w:rFonts w:ascii="Arial" w:eastAsia="Times New Roman" w:hAnsi="Arial" w:cs="Arial"/>
                <w:sz w:val="20"/>
                <w:szCs w:val="20"/>
                <w:lang w:eastAsia="pt-BR"/>
              </w:rPr>
              <w:t>DESPESAS DE CAPITAL</w:t>
            </w:r>
          </w:p>
        </w:tc>
        <w:tc>
          <w:tcPr>
            <w:tcW w:w="3074" w:type="dxa"/>
          </w:tcPr>
          <w:p w:rsidR="00C37F58" w:rsidRPr="0026351F" w:rsidRDefault="003324B7" w:rsidP="0016290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225.000,00</w:t>
            </w:r>
          </w:p>
        </w:tc>
        <w:tc>
          <w:tcPr>
            <w:tcW w:w="2967" w:type="dxa"/>
          </w:tcPr>
          <w:p w:rsidR="00C37F58" w:rsidRPr="0026351F" w:rsidRDefault="003324B7" w:rsidP="0016290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509.527,53</w:t>
            </w:r>
          </w:p>
        </w:tc>
      </w:tr>
      <w:tr w:rsidR="00162900" w:rsidRPr="00162900"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Pr>
          <w:p w:rsidR="00C37F58" w:rsidRPr="0026351F" w:rsidRDefault="00C37F58" w:rsidP="00C37F58">
            <w:pPr>
              <w:rPr>
                <w:rFonts w:ascii="Arial" w:eastAsia="Times New Roman" w:hAnsi="Arial" w:cs="Arial"/>
                <w:b w:val="0"/>
                <w:sz w:val="20"/>
                <w:szCs w:val="20"/>
                <w:lang w:eastAsia="pt-BR"/>
              </w:rPr>
            </w:pPr>
            <w:r w:rsidRPr="0026351F">
              <w:rPr>
                <w:rFonts w:ascii="Arial" w:eastAsia="Times New Roman" w:hAnsi="Arial" w:cs="Arial"/>
                <w:b w:val="0"/>
                <w:sz w:val="20"/>
                <w:szCs w:val="20"/>
                <w:lang w:eastAsia="pt-BR"/>
              </w:rPr>
              <w:t>Investimento</w:t>
            </w:r>
          </w:p>
        </w:tc>
        <w:tc>
          <w:tcPr>
            <w:tcW w:w="3074" w:type="dxa"/>
          </w:tcPr>
          <w:p w:rsidR="00C37F58" w:rsidRPr="0026351F" w:rsidRDefault="003324B7" w:rsidP="00B73E57">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225.000,00</w:t>
            </w:r>
          </w:p>
        </w:tc>
        <w:tc>
          <w:tcPr>
            <w:tcW w:w="2967" w:type="dxa"/>
          </w:tcPr>
          <w:p w:rsidR="00C37F58" w:rsidRPr="0026351F" w:rsidRDefault="003324B7" w:rsidP="00162900">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509.527,53</w:t>
            </w:r>
          </w:p>
        </w:tc>
      </w:tr>
      <w:tr w:rsidR="00162900" w:rsidRPr="00162900" w:rsidTr="007B30E3">
        <w:trPr>
          <w:trHeight w:val="255"/>
        </w:trPr>
        <w:tc>
          <w:tcPr>
            <w:cnfStyle w:val="001000000000" w:firstRow="0" w:lastRow="0" w:firstColumn="1" w:lastColumn="0" w:oddVBand="0" w:evenVBand="0" w:oddHBand="0" w:evenHBand="0" w:firstRowFirstColumn="0" w:firstRowLastColumn="0" w:lastRowFirstColumn="0" w:lastRowLastColumn="0"/>
            <w:tcW w:w="3139" w:type="dxa"/>
          </w:tcPr>
          <w:p w:rsidR="00C37F58" w:rsidRPr="0026351F" w:rsidRDefault="00C37F58" w:rsidP="00807064">
            <w:pPr>
              <w:rPr>
                <w:rFonts w:ascii="Arial" w:hAnsi="Arial" w:cs="Arial"/>
                <w:bCs w:val="0"/>
                <w:color w:val="215868" w:themeColor="accent5" w:themeShade="80"/>
                <w:sz w:val="20"/>
                <w:szCs w:val="20"/>
              </w:rPr>
            </w:pPr>
          </w:p>
        </w:tc>
        <w:tc>
          <w:tcPr>
            <w:tcW w:w="3074" w:type="dxa"/>
          </w:tcPr>
          <w:p w:rsidR="00C37F58" w:rsidRPr="0026351F" w:rsidRDefault="003324B7" w:rsidP="0016290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3.020.000,00</w:t>
            </w:r>
          </w:p>
        </w:tc>
        <w:tc>
          <w:tcPr>
            <w:tcW w:w="2967" w:type="dxa"/>
          </w:tcPr>
          <w:p w:rsidR="00C37F58" w:rsidRPr="0026351F" w:rsidRDefault="003324B7" w:rsidP="00162900">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4.138.062,29</w:t>
            </w:r>
          </w:p>
        </w:tc>
      </w:tr>
    </w:tbl>
    <w:p w:rsidR="000A2774" w:rsidRDefault="000A2774" w:rsidP="00162900">
      <w:pPr>
        <w:spacing w:line="240" w:lineRule="auto"/>
        <w:jc w:val="both"/>
        <w:rPr>
          <w:rFonts w:ascii="Arial" w:hAnsi="Arial" w:cs="Arial"/>
          <w:bCs/>
          <w:sz w:val="24"/>
          <w:szCs w:val="24"/>
        </w:rPr>
      </w:pPr>
    </w:p>
    <w:p w:rsidR="00855A6A" w:rsidRPr="00BA2569" w:rsidRDefault="00855A6A" w:rsidP="00855A6A">
      <w:pPr>
        <w:spacing w:line="240" w:lineRule="auto"/>
        <w:jc w:val="both"/>
        <w:rPr>
          <w:rFonts w:ascii="Arial" w:hAnsi="Arial" w:cs="Arial"/>
          <w:bCs/>
          <w:sz w:val="24"/>
          <w:szCs w:val="24"/>
        </w:rPr>
      </w:pPr>
      <w:r w:rsidRPr="00BA2569">
        <w:rPr>
          <w:rFonts w:ascii="Arial" w:hAnsi="Arial" w:cs="Arial"/>
          <w:bCs/>
          <w:sz w:val="24"/>
          <w:szCs w:val="24"/>
        </w:rPr>
        <w:t>Durante o exercício de 2019, o Município de Santa Terezinha do Progresso, SC, criou e abriu créditos adicionais especiais e créditos adicionais suplementares, buscando realizar as alterações orçamentárias necessárias para atender a demanda dos serviços e obras públicas, ainda de acordo com o ingresso de recursos financeiros.</w:t>
      </w:r>
    </w:p>
    <w:p w:rsidR="00855A6A" w:rsidRPr="00BA2569" w:rsidRDefault="00855A6A" w:rsidP="00855A6A">
      <w:pPr>
        <w:pStyle w:val="NormalWeb"/>
        <w:jc w:val="both"/>
        <w:rPr>
          <w:rFonts w:ascii="Arial" w:eastAsiaTheme="minorHAnsi" w:hAnsi="Arial" w:cs="Arial"/>
          <w:bCs/>
          <w:lang w:eastAsia="en-US"/>
        </w:rPr>
      </w:pPr>
      <w:r w:rsidRPr="00BA2569">
        <w:rPr>
          <w:rFonts w:ascii="Arial" w:eastAsiaTheme="minorHAnsi" w:hAnsi="Arial" w:cs="Arial"/>
          <w:bCs/>
          <w:lang w:eastAsia="en-US"/>
        </w:rPr>
        <w:lastRenderedPageBreak/>
        <w:t>Todos os atos, Decretos ou Leis, atenderam as exigências da Lei Federal nº 4.320/1964, conforme artigo 42 da Lei Federal 4.320/1964, “Art. 42. Os créditos suplementares e especiais serão autorizados por lei e abertos por decreto executivo”.</w:t>
      </w:r>
    </w:p>
    <w:p w:rsidR="00855A6A" w:rsidRPr="00BA2569" w:rsidRDefault="00855A6A" w:rsidP="00855A6A">
      <w:pPr>
        <w:pStyle w:val="NormalWeb"/>
        <w:jc w:val="both"/>
        <w:rPr>
          <w:rFonts w:ascii="Arial" w:eastAsiaTheme="minorHAnsi" w:hAnsi="Arial" w:cs="Arial"/>
          <w:bCs/>
          <w:lang w:eastAsia="en-US"/>
        </w:rPr>
      </w:pPr>
      <w:r w:rsidRPr="00BA2569">
        <w:rPr>
          <w:rFonts w:ascii="Arial" w:eastAsiaTheme="minorHAnsi" w:hAnsi="Arial" w:cs="Arial"/>
          <w:bCs/>
          <w:lang w:eastAsia="en-US"/>
        </w:rPr>
        <w:t xml:space="preserve">A Lei Orçamentária 2019, do Município de </w:t>
      </w:r>
      <w:r w:rsidRPr="00BA2569">
        <w:rPr>
          <w:rFonts w:ascii="Arial" w:hAnsi="Arial" w:cs="Arial"/>
          <w:bCs/>
        </w:rPr>
        <w:t>Santa Terezinha do Progresso</w:t>
      </w:r>
      <w:r w:rsidRPr="00BA2569">
        <w:rPr>
          <w:rFonts w:ascii="Arial" w:eastAsiaTheme="minorHAnsi" w:hAnsi="Arial" w:cs="Arial"/>
          <w:bCs/>
          <w:lang w:eastAsia="en-US"/>
        </w:rPr>
        <w:t xml:space="preserve">, SC, </w:t>
      </w:r>
      <w:r>
        <w:rPr>
          <w:rFonts w:ascii="Arial" w:eastAsiaTheme="minorHAnsi" w:hAnsi="Arial" w:cs="Arial"/>
          <w:bCs/>
          <w:lang w:eastAsia="en-US"/>
        </w:rPr>
        <w:t xml:space="preserve">que também contempla o FMS, </w:t>
      </w:r>
      <w:r w:rsidRPr="00BA2569">
        <w:rPr>
          <w:rFonts w:ascii="Arial" w:eastAsiaTheme="minorHAnsi" w:hAnsi="Arial" w:cs="Arial"/>
          <w:bCs/>
          <w:lang w:eastAsia="en-US"/>
        </w:rPr>
        <w:t xml:space="preserve">previu autorização para abertura de créditos adicionais suplementares, conforme art. 7º da Lei Federal 4.320/1964, “Art. 7° A Lei de Orçamento poderá conter autorização ao Executivo para: </w:t>
      </w:r>
      <w:bookmarkStart w:id="1" w:name="art7i"/>
      <w:bookmarkEnd w:id="1"/>
      <w:r w:rsidRPr="00BA2569">
        <w:rPr>
          <w:rFonts w:ascii="Arial" w:eastAsiaTheme="minorHAnsi" w:hAnsi="Arial" w:cs="Arial"/>
          <w:bCs/>
          <w:lang w:eastAsia="en-US"/>
        </w:rPr>
        <w:t>I - Abrir créditos suplementares até determinada importância obedecidas as disposições do artigo 43; (...)”. </w:t>
      </w:r>
    </w:p>
    <w:p w:rsidR="00855A6A" w:rsidRPr="00BA2569" w:rsidRDefault="00855A6A" w:rsidP="00855A6A">
      <w:pPr>
        <w:pStyle w:val="NormalWeb"/>
        <w:jc w:val="both"/>
        <w:rPr>
          <w:rFonts w:ascii="Arial" w:eastAsiaTheme="minorHAnsi" w:hAnsi="Arial" w:cs="Arial"/>
          <w:bCs/>
          <w:lang w:eastAsia="en-US"/>
        </w:rPr>
      </w:pPr>
      <w:r w:rsidRPr="00BA2569">
        <w:rPr>
          <w:rFonts w:ascii="Arial" w:eastAsiaTheme="minorHAnsi" w:hAnsi="Arial" w:cs="Arial"/>
          <w:bCs/>
          <w:lang w:eastAsia="en-US"/>
        </w:rPr>
        <w:t>Lei Municipal 1402, de 03 de dezembro de 2018, Lei Orçamentária 2019 do Município de Santa Terezinha do Progresso:</w:t>
      </w:r>
    </w:p>
    <w:p w:rsidR="00855A6A" w:rsidRPr="00BA2569" w:rsidRDefault="00855A6A" w:rsidP="00855A6A">
      <w:pPr>
        <w:pStyle w:val="NormalWeb"/>
        <w:ind w:left="2268"/>
        <w:jc w:val="both"/>
        <w:rPr>
          <w:rFonts w:ascii="Arial" w:eastAsiaTheme="minorHAnsi" w:hAnsi="Arial" w:cs="Arial"/>
          <w:bCs/>
          <w:sz w:val="22"/>
          <w:szCs w:val="22"/>
          <w:lang w:eastAsia="en-US"/>
        </w:rPr>
      </w:pPr>
      <w:r w:rsidRPr="00BA2569">
        <w:rPr>
          <w:rFonts w:ascii="Arial" w:eastAsiaTheme="minorHAnsi" w:hAnsi="Arial" w:cs="Arial"/>
          <w:bCs/>
          <w:sz w:val="22"/>
          <w:szCs w:val="22"/>
          <w:lang w:eastAsia="en-US"/>
        </w:rPr>
        <w:t>Art. 5º. O Poder Executivo Municipal está autorizado, a abrir créditos adicionais suplementares, até o limite de 15% da Receita estimada, utilizando como fontes de recursos, desde que não comprometidos (...)</w:t>
      </w:r>
    </w:p>
    <w:p w:rsidR="00855A6A" w:rsidRPr="00E70E4A" w:rsidRDefault="00855A6A" w:rsidP="00855A6A">
      <w:pPr>
        <w:spacing w:after="0" w:line="240" w:lineRule="auto"/>
        <w:ind w:left="2268"/>
        <w:jc w:val="both"/>
        <w:rPr>
          <w:rFonts w:ascii="Arial" w:hAnsi="Arial" w:cs="Arial"/>
          <w:bCs/>
        </w:rPr>
      </w:pPr>
    </w:p>
    <w:p w:rsidR="00855A6A" w:rsidRPr="00E70E4A" w:rsidRDefault="00855A6A" w:rsidP="00855A6A">
      <w:pPr>
        <w:spacing w:after="0" w:line="240" w:lineRule="auto"/>
        <w:jc w:val="both"/>
        <w:rPr>
          <w:rFonts w:ascii="Arial" w:hAnsi="Arial" w:cs="Arial"/>
          <w:bCs/>
          <w:sz w:val="24"/>
          <w:szCs w:val="24"/>
        </w:rPr>
      </w:pPr>
      <w:r w:rsidRPr="00E70E4A">
        <w:rPr>
          <w:rFonts w:ascii="Arial" w:hAnsi="Arial" w:cs="Arial"/>
          <w:bCs/>
          <w:sz w:val="24"/>
          <w:szCs w:val="24"/>
        </w:rPr>
        <w:t xml:space="preserve">Durante o exercício de 2019, a abertura de créditos adicionais no valor total de R$ </w:t>
      </w:r>
      <w:r w:rsidR="003E661C" w:rsidRPr="00E70E4A">
        <w:rPr>
          <w:rFonts w:ascii="Arial" w:hAnsi="Arial" w:cs="Arial"/>
          <w:bCs/>
          <w:sz w:val="24"/>
          <w:szCs w:val="24"/>
        </w:rPr>
        <w:t>1.672.442,27</w:t>
      </w:r>
      <w:r w:rsidRPr="00E70E4A">
        <w:rPr>
          <w:rFonts w:ascii="Arial" w:hAnsi="Arial" w:cs="Arial"/>
          <w:bCs/>
          <w:sz w:val="24"/>
          <w:szCs w:val="24"/>
        </w:rPr>
        <w:t>, pode assim ser apresentada:</w:t>
      </w:r>
    </w:p>
    <w:p w:rsidR="00855A6A" w:rsidRPr="00E70E4A" w:rsidRDefault="00855A6A" w:rsidP="00855A6A">
      <w:pPr>
        <w:spacing w:after="0" w:line="240" w:lineRule="auto"/>
        <w:jc w:val="both"/>
        <w:rPr>
          <w:rFonts w:ascii="Arial" w:hAnsi="Arial" w:cs="Arial"/>
          <w:bCs/>
          <w:sz w:val="24"/>
          <w:szCs w:val="24"/>
        </w:rPr>
      </w:pPr>
    </w:p>
    <w:p w:rsidR="00855A6A" w:rsidRPr="00E70E4A" w:rsidRDefault="00855A6A" w:rsidP="00855A6A">
      <w:pPr>
        <w:spacing w:after="0" w:line="240" w:lineRule="auto"/>
        <w:jc w:val="both"/>
        <w:rPr>
          <w:rFonts w:ascii="Arial" w:hAnsi="Arial" w:cs="Arial"/>
          <w:bCs/>
          <w:sz w:val="24"/>
          <w:szCs w:val="24"/>
        </w:rPr>
      </w:pPr>
    </w:p>
    <w:p w:rsidR="00855A6A" w:rsidRPr="00E70E4A" w:rsidRDefault="00855A6A" w:rsidP="00855A6A">
      <w:pPr>
        <w:spacing w:after="0" w:line="240" w:lineRule="auto"/>
        <w:jc w:val="both"/>
        <w:rPr>
          <w:rFonts w:ascii="Arial" w:hAnsi="Arial" w:cs="Arial"/>
          <w:bCs/>
          <w:sz w:val="24"/>
          <w:szCs w:val="24"/>
        </w:rPr>
      </w:pPr>
      <w:r w:rsidRPr="00E70E4A">
        <w:rPr>
          <w:rFonts w:ascii="Arial" w:hAnsi="Arial" w:cs="Arial"/>
          <w:bCs/>
          <w:sz w:val="24"/>
          <w:szCs w:val="24"/>
        </w:rPr>
        <w:t>Por tipo de Credito Adicional:</w:t>
      </w:r>
    </w:p>
    <w:p w:rsidR="00855A6A" w:rsidRPr="00E70E4A" w:rsidRDefault="00855A6A" w:rsidP="00855A6A">
      <w:pPr>
        <w:pStyle w:val="PargrafodaLista"/>
        <w:numPr>
          <w:ilvl w:val="0"/>
          <w:numId w:val="20"/>
        </w:numPr>
        <w:spacing w:after="0" w:line="240" w:lineRule="auto"/>
        <w:jc w:val="both"/>
        <w:rPr>
          <w:rFonts w:ascii="Arial" w:hAnsi="Arial" w:cs="Arial"/>
          <w:bCs/>
          <w:sz w:val="24"/>
          <w:szCs w:val="24"/>
        </w:rPr>
      </w:pPr>
      <w:r w:rsidRPr="00E70E4A">
        <w:rPr>
          <w:rFonts w:ascii="Arial" w:hAnsi="Arial" w:cs="Arial"/>
          <w:bCs/>
          <w:sz w:val="24"/>
          <w:szCs w:val="24"/>
        </w:rPr>
        <w:t xml:space="preserve">Suplementar: R$ </w:t>
      </w:r>
      <w:r w:rsidR="003E661C" w:rsidRPr="00E70E4A">
        <w:rPr>
          <w:rFonts w:ascii="Arial" w:hAnsi="Arial" w:cs="Arial"/>
          <w:bCs/>
          <w:sz w:val="24"/>
          <w:szCs w:val="24"/>
        </w:rPr>
        <w:t>1.451.785,93</w:t>
      </w:r>
    </w:p>
    <w:p w:rsidR="00855A6A" w:rsidRPr="00E70E4A" w:rsidRDefault="00855A6A" w:rsidP="00855A6A">
      <w:pPr>
        <w:pStyle w:val="PargrafodaLista"/>
        <w:numPr>
          <w:ilvl w:val="0"/>
          <w:numId w:val="20"/>
        </w:numPr>
        <w:spacing w:after="0" w:line="240" w:lineRule="auto"/>
        <w:jc w:val="both"/>
        <w:rPr>
          <w:rFonts w:ascii="Arial" w:hAnsi="Arial" w:cs="Arial"/>
          <w:bCs/>
          <w:sz w:val="24"/>
          <w:szCs w:val="24"/>
        </w:rPr>
      </w:pPr>
      <w:r w:rsidRPr="00E70E4A">
        <w:rPr>
          <w:rFonts w:ascii="Arial" w:hAnsi="Arial" w:cs="Arial"/>
          <w:bCs/>
          <w:sz w:val="24"/>
          <w:szCs w:val="24"/>
        </w:rPr>
        <w:t xml:space="preserve">Especial: R$ </w:t>
      </w:r>
      <w:r w:rsidR="003E661C" w:rsidRPr="00E70E4A">
        <w:rPr>
          <w:rFonts w:ascii="Arial" w:hAnsi="Arial" w:cs="Arial"/>
          <w:bCs/>
          <w:sz w:val="24"/>
          <w:szCs w:val="24"/>
        </w:rPr>
        <w:t>220.656,34</w:t>
      </w:r>
    </w:p>
    <w:p w:rsidR="00855A6A" w:rsidRPr="00E70E4A" w:rsidRDefault="00855A6A" w:rsidP="00855A6A">
      <w:pPr>
        <w:spacing w:after="0" w:line="240" w:lineRule="auto"/>
        <w:jc w:val="both"/>
        <w:rPr>
          <w:rFonts w:ascii="Arial" w:hAnsi="Arial" w:cs="Arial"/>
          <w:bCs/>
          <w:sz w:val="24"/>
          <w:szCs w:val="24"/>
        </w:rPr>
      </w:pPr>
    </w:p>
    <w:p w:rsidR="00855A6A" w:rsidRPr="00E70E4A" w:rsidRDefault="00855A6A" w:rsidP="00855A6A">
      <w:pPr>
        <w:spacing w:after="0" w:line="240" w:lineRule="auto"/>
        <w:jc w:val="both"/>
        <w:rPr>
          <w:rFonts w:ascii="Arial" w:hAnsi="Arial" w:cs="Arial"/>
          <w:bCs/>
          <w:sz w:val="24"/>
          <w:szCs w:val="24"/>
        </w:rPr>
      </w:pPr>
      <w:r w:rsidRPr="00E70E4A">
        <w:rPr>
          <w:rFonts w:ascii="Arial" w:hAnsi="Arial" w:cs="Arial"/>
          <w:bCs/>
          <w:sz w:val="24"/>
          <w:szCs w:val="24"/>
        </w:rPr>
        <w:t>Pela origem do recurso do Credito Adicional:</w:t>
      </w:r>
    </w:p>
    <w:p w:rsidR="00855A6A" w:rsidRPr="00E70E4A" w:rsidRDefault="00855A6A" w:rsidP="00855A6A">
      <w:pPr>
        <w:pStyle w:val="PargrafodaLista"/>
        <w:numPr>
          <w:ilvl w:val="0"/>
          <w:numId w:val="20"/>
        </w:numPr>
        <w:spacing w:after="0" w:line="240" w:lineRule="auto"/>
        <w:jc w:val="both"/>
        <w:rPr>
          <w:rFonts w:ascii="Arial" w:hAnsi="Arial" w:cs="Arial"/>
          <w:bCs/>
          <w:sz w:val="24"/>
          <w:szCs w:val="24"/>
        </w:rPr>
      </w:pPr>
      <w:r w:rsidRPr="00E70E4A">
        <w:rPr>
          <w:rFonts w:ascii="Arial" w:hAnsi="Arial" w:cs="Arial"/>
          <w:bCs/>
          <w:sz w:val="24"/>
          <w:szCs w:val="24"/>
        </w:rPr>
        <w:t xml:space="preserve">Superávit Financeiro:         R$ </w:t>
      </w:r>
      <w:r w:rsidR="003E661C" w:rsidRPr="00E70E4A">
        <w:rPr>
          <w:rFonts w:ascii="Arial" w:hAnsi="Arial" w:cs="Arial"/>
          <w:bCs/>
          <w:sz w:val="24"/>
          <w:szCs w:val="24"/>
        </w:rPr>
        <w:t>559.455,26</w:t>
      </w:r>
    </w:p>
    <w:p w:rsidR="00855A6A" w:rsidRPr="00E70E4A" w:rsidRDefault="00855A6A" w:rsidP="00855A6A">
      <w:pPr>
        <w:pStyle w:val="PargrafodaLista"/>
        <w:numPr>
          <w:ilvl w:val="0"/>
          <w:numId w:val="20"/>
        </w:numPr>
        <w:spacing w:after="0" w:line="240" w:lineRule="auto"/>
        <w:jc w:val="both"/>
        <w:rPr>
          <w:rFonts w:ascii="Arial" w:hAnsi="Arial" w:cs="Arial"/>
          <w:bCs/>
          <w:sz w:val="24"/>
          <w:szCs w:val="24"/>
        </w:rPr>
      </w:pPr>
      <w:r w:rsidRPr="00E70E4A">
        <w:rPr>
          <w:rFonts w:ascii="Arial" w:hAnsi="Arial" w:cs="Arial"/>
          <w:bCs/>
          <w:sz w:val="24"/>
          <w:szCs w:val="24"/>
        </w:rPr>
        <w:t xml:space="preserve">Excesso de Arrecadação:  R$ </w:t>
      </w:r>
      <w:r w:rsidR="003E661C" w:rsidRPr="00E70E4A">
        <w:rPr>
          <w:rFonts w:ascii="Arial" w:hAnsi="Arial" w:cs="Arial"/>
          <w:bCs/>
          <w:sz w:val="24"/>
          <w:szCs w:val="24"/>
        </w:rPr>
        <w:t>558.607,03</w:t>
      </w:r>
    </w:p>
    <w:p w:rsidR="00855A6A" w:rsidRPr="00E70E4A" w:rsidRDefault="00855A6A" w:rsidP="00855A6A">
      <w:pPr>
        <w:pStyle w:val="PargrafodaLista"/>
        <w:numPr>
          <w:ilvl w:val="0"/>
          <w:numId w:val="20"/>
        </w:numPr>
        <w:spacing w:after="0" w:line="240" w:lineRule="auto"/>
        <w:ind w:left="1068"/>
        <w:jc w:val="both"/>
        <w:rPr>
          <w:rFonts w:ascii="Arial" w:hAnsi="Arial" w:cs="Arial"/>
          <w:bCs/>
          <w:sz w:val="24"/>
          <w:szCs w:val="24"/>
        </w:rPr>
      </w:pPr>
      <w:r w:rsidRPr="00E70E4A">
        <w:rPr>
          <w:rFonts w:ascii="Arial" w:hAnsi="Arial" w:cs="Arial"/>
          <w:bCs/>
          <w:sz w:val="24"/>
          <w:szCs w:val="24"/>
        </w:rPr>
        <w:t xml:space="preserve">Adicionar/Subtrair </w:t>
      </w:r>
      <w:bookmarkStart w:id="2" w:name="OLE_LINK21"/>
      <w:bookmarkStart w:id="3" w:name="OLE_LINK22"/>
      <w:r w:rsidRPr="00E70E4A">
        <w:rPr>
          <w:rFonts w:ascii="Arial" w:hAnsi="Arial" w:cs="Arial"/>
          <w:bCs/>
          <w:sz w:val="24"/>
          <w:szCs w:val="24"/>
        </w:rPr>
        <w:t xml:space="preserve">anulação de dotação: R$ </w:t>
      </w:r>
      <w:bookmarkEnd w:id="2"/>
      <w:bookmarkEnd w:id="3"/>
      <w:r w:rsidR="003E661C" w:rsidRPr="00E70E4A">
        <w:rPr>
          <w:rFonts w:ascii="Arial" w:hAnsi="Arial" w:cs="Arial"/>
          <w:bCs/>
          <w:sz w:val="24"/>
          <w:szCs w:val="24"/>
        </w:rPr>
        <w:t>554.379,98</w:t>
      </w:r>
    </w:p>
    <w:p w:rsidR="00855A6A" w:rsidRPr="00E70E4A" w:rsidRDefault="00855A6A" w:rsidP="00855A6A">
      <w:pPr>
        <w:spacing w:after="0" w:line="240" w:lineRule="auto"/>
        <w:jc w:val="both"/>
        <w:rPr>
          <w:rFonts w:ascii="Arial" w:hAnsi="Arial" w:cs="Arial"/>
          <w:bCs/>
          <w:sz w:val="24"/>
          <w:szCs w:val="24"/>
        </w:rPr>
      </w:pPr>
    </w:p>
    <w:p w:rsidR="00855A6A" w:rsidRPr="00E70E4A" w:rsidRDefault="00855A6A" w:rsidP="001A008C">
      <w:pPr>
        <w:spacing w:line="240" w:lineRule="auto"/>
        <w:jc w:val="both"/>
        <w:rPr>
          <w:rFonts w:ascii="Arial" w:hAnsi="Arial" w:cs="Arial"/>
          <w:b/>
          <w:bCs/>
          <w:sz w:val="24"/>
          <w:szCs w:val="24"/>
        </w:rPr>
      </w:pPr>
    </w:p>
    <w:p w:rsidR="008A3226" w:rsidRPr="00D508EF" w:rsidRDefault="000C46AF" w:rsidP="001A008C">
      <w:pPr>
        <w:spacing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5 Análise</w:t>
      </w:r>
      <w:r w:rsidR="008A3226" w:rsidRPr="00D508EF">
        <w:rPr>
          <w:rFonts w:ascii="Arial" w:hAnsi="Arial" w:cs="Arial"/>
          <w:b/>
          <w:bCs/>
          <w:color w:val="215868" w:themeColor="accent5" w:themeShade="80"/>
          <w:sz w:val="24"/>
          <w:szCs w:val="24"/>
        </w:rPr>
        <w:t xml:space="preserve"> </w:t>
      </w:r>
      <w:r>
        <w:rPr>
          <w:rFonts w:ascii="Arial" w:hAnsi="Arial" w:cs="Arial"/>
          <w:b/>
          <w:bCs/>
          <w:color w:val="215868" w:themeColor="accent5" w:themeShade="80"/>
          <w:sz w:val="24"/>
          <w:szCs w:val="24"/>
        </w:rPr>
        <w:t>d</w:t>
      </w:r>
      <w:r w:rsidR="008A3226" w:rsidRPr="00D508EF">
        <w:rPr>
          <w:rFonts w:ascii="Arial" w:hAnsi="Arial" w:cs="Arial"/>
          <w:b/>
          <w:bCs/>
          <w:color w:val="215868" w:themeColor="accent5" w:themeShade="80"/>
          <w:sz w:val="24"/>
          <w:szCs w:val="24"/>
        </w:rPr>
        <w:t>a execução da despesa</w:t>
      </w:r>
    </w:p>
    <w:tbl>
      <w:tblPr>
        <w:tblStyle w:val="TabeladeGrade4-nfase52"/>
        <w:tblW w:w="9072" w:type="dxa"/>
        <w:tblInd w:w="108" w:type="dxa"/>
        <w:tblLook w:val="04A0" w:firstRow="1" w:lastRow="0" w:firstColumn="1" w:lastColumn="0" w:noHBand="0" w:noVBand="1"/>
      </w:tblPr>
      <w:tblGrid>
        <w:gridCol w:w="2683"/>
        <w:gridCol w:w="1672"/>
        <w:gridCol w:w="1672"/>
        <w:gridCol w:w="1549"/>
        <w:gridCol w:w="1496"/>
      </w:tblGrid>
      <w:tr w:rsidR="006D486E" w:rsidTr="007B30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Pr>
          <w:p w:rsidR="006D486E" w:rsidRPr="00FC054E" w:rsidRDefault="006D486E" w:rsidP="007B30E3">
            <w:pPr>
              <w:rPr>
                <w:rFonts w:ascii="Arial" w:hAnsi="Arial" w:cs="Arial"/>
                <w:bCs w:val="0"/>
                <w:color w:val="215868" w:themeColor="accent5" w:themeShade="80"/>
                <w:sz w:val="20"/>
                <w:szCs w:val="20"/>
              </w:rPr>
            </w:pPr>
            <w:r w:rsidRPr="00FC054E">
              <w:rPr>
                <w:rFonts w:ascii="Arial" w:eastAsia="Times New Roman" w:hAnsi="Arial" w:cs="Arial"/>
                <w:color w:val="auto"/>
                <w:sz w:val="20"/>
                <w:szCs w:val="20"/>
                <w:lang w:eastAsia="pt-BR"/>
              </w:rPr>
              <w:t>DESPESAS ORÇAMENTÁRIAS</w:t>
            </w:r>
          </w:p>
        </w:tc>
        <w:tc>
          <w:tcPr>
            <w:tcW w:w="1672" w:type="dxa"/>
          </w:tcPr>
          <w:p w:rsidR="006D486E" w:rsidRPr="00FC054E" w:rsidRDefault="006D486E" w:rsidP="007B30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FC054E">
              <w:rPr>
                <w:rFonts w:ascii="Arial" w:eastAsia="Times New Roman" w:hAnsi="Arial" w:cs="Arial"/>
                <w:color w:val="auto"/>
                <w:sz w:val="20"/>
                <w:szCs w:val="20"/>
                <w:lang w:eastAsia="pt-BR"/>
              </w:rPr>
              <w:t>DOTAÇÃO ATUALIZADA</w:t>
            </w:r>
          </w:p>
        </w:tc>
        <w:tc>
          <w:tcPr>
            <w:tcW w:w="1672" w:type="dxa"/>
          </w:tcPr>
          <w:p w:rsidR="006D486E" w:rsidRPr="00FC054E" w:rsidRDefault="006D486E" w:rsidP="007B30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FC054E">
              <w:rPr>
                <w:rFonts w:ascii="Arial" w:eastAsia="Times New Roman" w:hAnsi="Arial" w:cs="Arial"/>
                <w:color w:val="auto"/>
                <w:sz w:val="20"/>
                <w:szCs w:val="20"/>
                <w:lang w:eastAsia="pt-BR"/>
              </w:rPr>
              <w:t>DESPESA EMPENHADA</w:t>
            </w:r>
          </w:p>
        </w:tc>
        <w:tc>
          <w:tcPr>
            <w:tcW w:w="1549" w:type="dxa"/>
          </w:tcPr>
          <w:p w:rsidR="006D486E" w:rsidRPr="00FC054E" w:rsidRDefault="006D486E" w:rsidP="007B30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FC054E">
              <w:rPr>
                <w:rFonts w:ascii="Arial" w:eastAsia="Times New Roman" w:hAnsi="Arial" w:cs="Arial"/>
                <w:color w:val="auto"/>
                <w:sz w:val="20"/>
                <w:szCs w:val="20"/>
                <w:lang w:eastAsia="pt-BR"/>
              </w:rPr>
              <w:t>DESPESA LIQUIDADA</w:t>
            </w:r>
          </w:p>
        </w:tc>
        <w:tc>
          <w:tcPr>
            <w:tcW w:w="1496" w:type="dxa"/>
          </w:tcPr>
          <w:p w:rsidR="006D486E" w:rsidRPr="00FC054E" w:rsidRDefault="006D486E" w:rsidP="007B30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FC054E">
              <w:rPr>
                <w:rFonts w:ascii="Arial" w:eastAsia="Times New Roman" w:hAnsi="Arial" w:cs="Arial"/>
                <w:color w:val="auto"/>
                <w:sz w:val="20"/>
                <w:szCs w:val="20"/>
                <w:lang w:eastAsia="pt-BR"/>
              </w:rPr>
              <w:t>DESPESA PAGA</w:t>
            </w:r>
          </w:p>
        </w:tc>
      </w:tr>
      <w:tr w:rsidR="00D269FC" w:rsidRPr="00162900"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Pr>
          <w:p w:rsidR="00D269FC" w:rsidRPr="00FC054E" w:rsidRDefault="00D269FC" w:rsidP="00D269FC">
            <w:pPr>
              <w:rPr>
                <w:rFonts w:ascii="Arial" w:eastAsia="Times New Roman" w:hAnsi="Arial" w:cs="Arial"/>
                <w:sz w:val="20"/>
                <w:szCs w:val="20"/>
                <w:lang w:eastAsia="pt-BR"/>
              </w:rPr>
            </w:pPr>
            <w:r w:rsidRPr="00FC054E">
              <w:rPr>
                <w:rFonts w:ascii="Arial" w:eastAsia="Times New Roman" w:hAnsi="Arial" w:cs="Arial"/>
                <w:sz w:val="20"/>
                <w:szCs w:val="20"/>
                <w:lang w:eastAsia="pt-BR"/>
              </w:rPr>
              <w:t>DESPESAS CORRENTES</w:t>
            </w:r>
          </w:p>
        </w:tc>
        <w:tc>
          <w:tcPr>
            <w:tcW w:w="1672" w:type="dxa"/>
          </w:tcPr>
          <w:p w:rsidR="00D269FC" w:rsidRPr="002B0180" w:rsidRDefault="003324B7"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2B0180">
              <w:rPr>
                <w:rFonts w:ascii="Arial" w:hAnsi="Arial" w:cs="Arial"/>
                <w:b/>
                <w:sz w:val="20"/>
              </w:rPr>
              <w:t>3.628.534,76</w:t>
            </w:r>
          </w:p>
        </w:tc>
        <w:tc>
          <w:tcPr>
            <w:tcW w:w="1672" w:type="dxa"/>
          </w:tcPr>
          <w:p w:rsidR="00D269FC" w:rsidRPr="002B0180" w:rsidRDefault="003324B7"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2B0180">
              <w:rPr>
                <w:rFonts w:ascii="Arial" w:hAnsi="Arial" w:cs="Arial"/>
                <w:b/>
                <w:sz w:val="20"/>
              </w:rPr>
              <w:t>3.437.101,54</w:t>
            </w:r>
          </w:p>
        </w:tc>
        <w:tc>
          <w:tcPr>
            <w:tcW w:w="1549" w:type="dxa"/>
          </w:tcPr>
          <w:p w:rsidR="00D269FC" w:rsidRPr="002B0180" w:rsidRDefault="003324B7"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2B0180">
              <w:rPr>
                <w:rFonts w:ascii="Arial" w:hAnsi="Arial" w:cs="Arial"/>
                <w:b/>
                <w:sz w:val="20"/>
              </w:rPr>
              <w:t>3.435.182,09</w:t>
            </w:r>
          </w:p>
        </w:tc>
        <w:tc>
          <w:tcPr>
            <w:tcW w:w="1496" w:type="dxa"/>
          </w:tcPr>
          <w:p w:rsidR="00D269FC" w:rsidRPr="002B0180" w:rsidRDefault="003324B7"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2B0180">
              <w:rPr>
                <w:rFonts w:ascii="Arial" w:hAnsi="Arial" w:cs="Arial"/>
                <w:b/>
                <w:sz w:val="20"/>
              </w:rPr>
              <w:t>3.433.906,06</w:t>
            </w:r>
          </w:p>
        </w:tc>
      </w:tr>
      <w:tr w:rsidR="00D269FC" w:rsidRPr="00162900" w:rsidTr="007B30E3">
        <w:trPr>
          <w:trHeight w:val="255"/>
        </w:trPr>
        <w:tc>
          <w:tcPr>
            <w:cnfStyle w:val="001000000000" w:firstRow="0" w:lastRow="0" w:firstColumn="1" w:lastColumn="0" w:oddVBand="0" w:evenVBand="0" w:oddHBand="0" w:evenHBand="0" w:firstRowFirstColumn="0" w:firstRowLastColumn="0" w:lastRowFirstColumn="0" w:lastRowLastColumn="0"/>
            <w:tcW w:w="2683" w:type="dxa"/>
          </w:tcPr>
          <w:p w:rsidR="00D269FC" w:rsidRPr="00FC054E" w:rsidRDefault="00D269FC" w:rsidP="00D269FC">
            <w:pPr>
              <w:rPr>
                <w:rFonts w:ascii="Arial" w:eastAsia="Times New Roman" w:hAnsi="Arial" w:cs="Arial"/>
                <w:b w:val="0"/>
                <w:sz w:val="20"/>
                <w:szCs w:val="20"/>
                <w:lang w:eastAsia="pt-BR"/>
              </w:rPr>
            </w:pPr>
            <w:r w:rsidRPr="00FC054E">
              <w:rPr>
                <w:rFonts w:ascii="Arial" w:eastAsia="Times New Roman" w:hAnsi="Arial" w:cs="Arial"/>
                <w:b w:val="0"/>
                <w:sz w:val="20"/>
                <w:szCs w:val="20"/>
                <w:lang w:eastAsia="pt-BR"/>
              </w:rPr>
              <w:t>Pessoal e encargos sociais</w:t>
            </w:r>
          </w:p>
        </w:tc>
        <w:tc>
          <w:tcPr>
            <w:tcW w:w="1672" w:type="dxa"/>
          </w:tcPr>
          <w:p w:rsidR="00D269FC" w:rsidRPr="002B0180" w:rsidRDefault="003324B7"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B0180">
              <w:rPr>
                <w:rFonts w:ascii="Arial" w:hAnsi="Arial" w:cs="Arial"/>
                <w:sz w:val="20"/>
              </w:rPr>
              <w:t>1.757.755,12</w:t>
            </w:r>
          </w:p>
        </w:tc>
        <w:tc>
          <w:tcPr>
            <w:tcW w:w="1672" w:type="dxa"/>
          </w:tcPr>
          <w:p w:rsidR="00D269FC" w:rsidRPr="002B0180" w:rsidRDefault="003324B7"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B0180">
              <w:rPr>
                <w:rFonts w:ascii="Arial" w:hAnsi="Arial" w:cs="Arial"/>
                <w:sz w:val="20"/>
              </w:rPr>
              <w:t>1.743.228,35</w:t>
            </w:r>
          </w:p>
        </w:tc>
        <w:tc>
          <w:tcPr>
            <w:tcW w:w="1549" w:type="dxa"/>
          </w:tcPr>
          <w:p w:rsidR="00D269FC" w:rsidRPr="002B0180" w:rsidRDefault="003324B7"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B0180">
              <w:rPr>
                <w:rFonts w:ascii="Arial" w:hAnsi="Arial" w:cs="Arial"/>
                <w:sz w:val="20"/>
              </w:rPr>
              <w:t>1.743.228,35</w:t>
            </w:r>
          </w:p>
        </w:tc>
        <w:tc>
          <w:tcPr>
            <w:tcW w:w="1496" w:type="dxa"/>
          </w:tcPr>
          <w:p w:rsidR="00D269FC" w:rsidRPr="002B0180" w:rsidRDefault="003324B7"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B0180">
              <w:rPr>
                <w:rFonts w:ascii="Arial" w:hAnsi="Arial" w:cs="Arial"/>
                <w:sz w:val="20"/>
              </w:rPr>
              <w:t>1.743.228,35</w:t>
            </w:r>
          </w:p>
        </w:tc>
      </w:tr>
      <w:tr w:rsidR="00D269FC" w:rsidRPr="00162900"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Pr>
          <w:p w:rsidR="00D269FC" w:rsidRPr="00FC054E" w:rsidRDefault="00D269FC" w:rsidP="00D269FC">
            <w:pPr>
              <w:rPr>
                <w:rFonts w:ascii="Arial" w:eastAsia="Times New Roman" w:hAnsi="Arial" w:cs="Arial"/>
                <w:b w:val="0"/>
                <w:sz w:val="20"/>
                <w:szCs w:val="20"/>
                <w:lang w:eastAsia="pt-BR"/>
              </w:rPr>
            </w:pPr>
            <w:r w:rsidRPr="00FC054E">
              <w:rPr>
                <w:rFonts w:ascii="Arial" w:eastAsia="Times New Roman" w:hAnsi="Arial" w:cs="Arial"/>
                <w:b w:val="0"/>
                <w:sz w:val="20"/>
                <w:szCs w:val="20"/>
                <w:lang w:eastAsia="pt-BR"/>
              </w:rPr>
              <w:t>Outras despesas correntes</w:t>
            </w:r>
          </w:p>
        </w:tc>
        <w:tc>
          <w:tcPr>
            <w:tcW w:w="1672" w:type="dxa"/>
          </w:tcPr>
          <w:p w:rsidR="00D269FC" w:rsidRPr="002B0180" w:rsidRDefault="003324B7"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B0180">
              <w:rPr>
                <w:rFonts w:ascii="Arial" w:hAnsi="Arial" w:cs="Arial"/>
                <w:sz w:val="20"/>
              </w:rPr>
              <w:t>1.870.779,64</w:t>
            </w:r>
          </w:p>
        </w:tc>
        <w:tc>
          <w:tcPr>
            <w:tcW w:w="1672" w:type="dxa"/>
          </w:tcPr>
          <w:p w:rsidR="00D269FC" w:rsidRPr="002B0180" w:rsidRDefault="003324B7"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B0180">
              <w:rPr>
                <w:rFonts w:ascii="Arial" w:hAnsi="Arial" w:cs="Arial"/>
                <w:sz w:val="20"/>
              </w:rPr>
              <w:t>1.693.873,19</w:t>
            </w:r>
          </w:p>
        </w:tc>
        <w:tc>
          <w:tcPr>
            <w:tcW w:w="1549" w:type="dxa"/>
          </w:tcPr>
          <w:p w:rsidR="00D269FC" w:rsidRPr="002B0180" w:rsidRDefault="003324B7"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B0180">
              <w:rPr>
                <w:rFonts w:ascii="Arial" w:hAnsi="Arial" w:cs="Arial"/>
                <w:sz w:val="20"/>
              </w:rPr>
              <w:t>1.691.953,74</w:t>
            </w:r>
          </w:p>
        </w:tc>
        <w:tc>
          <w:tcPr>
            <w:tcW w:w="1496" w:type="dxa"/>
          </w:tcPr>
          <w:p w:rsidR="00D269FC" w:rsidRPr="002B0180" w:rsidRDefault="003324B7"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B0180">
              <w:rPr>
                <w:rFonts w:ascii="Arial" w:hAnsi="Arial" w:cs="Arial"/>
                <w:sz w:val="20"/>
              </w:rPr>
              <w:t>1.690.677,71</w:t>
            </w:r>
          </w:p>
        </w:tc>
      </w:tr>
      <w:tr w:rsidR="00D269FC" w:rsidRPr="00162900" w:rsidTr="007B30E3">
        <w:trPr>
          <w:trHeight w:val="255"/>
        </w:trPr>
        <w:tc>
          <w:tcPr>
            <w:cnfStyle w:val="001000000000" w:firstRow="0" w:lastRow="0" w:firstColumn="1" w:lastColumn="0" w:oddVBand="0" w:evenVBand="0" w:oddHBand="0" w:evenHBand="0" w:firstRowFirstColumn="0" w:firstRowLastColumn="0" w:lastRowFirstColumn="0" w:lastRowLastColumn="0"/>
            <w:tcW w:w="2683" w:type="dxa"/>
          </w:tcPr>
          <w:p w:rsidR="00D269FC" w:rsidRPr="00FC054E" w:rsidRDefault="00D269FC" w:rsidP="00D269FC">
            <w:pPr>
              <w:rPr>
                <w:rFonts w:ascii="Arial" w:eastAsia="Times New Roman" w:hAnsi="Arial" w:cs="Arial"/>
                <w:sz w:val="20"/>
                <w:szCs w:val="20"/>
                <w:lang w:eastAsia="pt-BR"/>
              </w:rPr>
            </w:pPr>
            <w:r w:rsidRPr="00FC054E">
              <w:rPr>
                <w:rFonts w:ascii="Arial" w:eastAsia="Times New Roman" w:hAnsi="Arial" w:cs="Arial"/>
                <w:sz w:val="20"/>
                <w:szCs w:val="20"/>
                <w:lang w:eastAsia="pt-BR"/>
              </w:rPr>
              <w:t>DESPESAS DE CAPITAL</w:t>
            </w:r>
          </w:p>
        </w:tc>
        <w:tc>
          <w:tcPr>
            <w:tcW w:w="1672" w:type="dxa"/>
          </w:tcPr>
          <w:p w:rsidR="00D269FC" w:rsidRPr="002B0180" w:rsidRDefault="003324B7"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2B0180">
              <w:rPr>
                <w:rFonts w:ascii="Arial" w:hAnsi="Arial" w:cs="Arial"/>
                <w:b/>
                <w:sz w:val="20"/>
              </w:rPr>
              <w:t>509.527,53</w:t>
            </w:r>
          </w:p>
        </w:tc>
        <w:tc>
          <w:tcPr>
            <w:tcW w:w="1672" w:type="dxa"/>
          </w:tcPr>
          <w:p w:rsidR="00D269FC" w:rsidRPr="002B0180" w:rsidRDefault="003324B7"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2B0180">
              <w:rPr>
                <w:rFonts w:ascii="Arial" w:hAnsi="Arial" w:cs="Arial"/>
                <w:b/>
                <w:sz w:val="20"/>
              </w:rPr>
              <w:t>419.640,23</w:t>
            </w:r>
          </w:p>
        </w:tc>
        <w:tc>
          <w:tcPr>
            <w:tcW w:w="1549" w:type="dxa"/>
          </w:tcPr>
          <w:p w:rsidR="00D269FC" w:rsidRPr="002B0180" w:rsidRDefault="003324B7"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2B0180">
              <w:rPr>
                <w:rFonts w:ascii="Arial" w:hAnsi="Arial" w:cs="Arial"/>
                <w:b/>
                <w:sz w:val="20"/>
              </w:rPr>
              <w:t>403.585,33</w:t>
            </w:r>
          </w:p>
        </w:tc>
        <w:tc>
          <w:tcPr>
            <w:tcW w:w="1496" w:type="dxa"/>
          </w:tcPr>
          <w:p w:rsidR="00D269FC" w:rsidRPr="002B0180" w:rsidRDefault="003324B7"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2B0180">
              <w:rPr>
                <w:rFonts w:ascii="Arial" w:hAnsi="Arial" w:cs="Arial"/>
                <w:b/>
                <w:sz w:val="20"/>
              </w:rPr>
              <w:t>403.585,33</w:t>
            </w:r>
          </w:p>
        </w:tc>
      </w:tr>
      <w:tr w:rsidR="00D269FC" w:rsidRPr="00162900"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Pr>
          <w:p w:rsidR="00D269FC" w:rsidRPr="00FC054E" w:rsidRDefault="00D269FC" w:rsidP="00D269FC">
            <w:pPr>
              <w:rPr>
                <w:rFonts w:ascii="Arial" w:eastAsia="Times New Roman" w:hAnsi="Arial" w:cs="Arial"/>
                <w:b w:val="0"/>
                <w:sz w:val="20"/>
                <w:szCs w:val="20"/>
                <w:lang w:eastAsia="pt-BR"/>
              </w:rPr>
            </w:pPr>
            <w:r w:rsidRPr="00FC054E">
              <w:rPr>
                <w:rFonts w:ascii="Arial" w:eastAsia="Times New Roman" w:hAnsi="Arial" w:cs="Arial"/>
                <w:b w:val="0"/>
                <w:sz w:val="20"/>
                <w:szCs w:val="20"/>
                <w:lang w:eastAsia="pt-BR"/>
              </w:rPr>
              <w:t>Investimento</w:t>
            </w:r>
          </w:p>
        </w:tc>
        <w:tc>
          <w:tcPr>
            <w:tcW w:w="1672" w:type="dxa"/>
          </w:tcPr>
          <w:p w:rsidR="00D269FC" w:rsidRPr="002B0180" w:rsidRDefault="002B0180"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B0180">
              <w:rPr>
                <w:rFonts w:ascii="Arial" w:hAnsi="Arial" w:cs="Arial"/>
                <w:sz w:val="20"/>
              </w:rPr>
              <w:t>509.527,53</w:t>
            </w:r>
          </w:p>
        </w:tc>
        <w:tc>
          <w:tcPr>
            <w:tcW w:w="1672" w:type="dxa"/>
          </w:tcPr>
          <w:p w:rsidR="00D269FC" w:rsidRPr="002B0180" w:rsidRDefault="002B0180"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B0180">
              <w:rPr>
                <w:rFonts w:ascii="Arial" w:hAnsi="Arial" w:cs="Arial"/>
                <w:sz w:val="20"/>
              </w:rPr>
              <w:t>419.640,23</w:t>
            </w:r>
          </w:p>
        </w:tc>
        <w:tc>
          <w:tcPr>
            <w:tcW w:w="1549" w:type="dxa"/>
          </w:tcPr>
          <w:p w:rsidR="00D269FC" w:rsidRPr="002B0180" w:rsidRDefault="002B0180"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B0180">
              <w:rPr>
                <w:rFonts w:ascii="Arial" w:hAnsi="Arial" w:cs="Arial"/>
                <w:sz w:val="20"/>
              </w:rPr>
              <w:t>403.585,33</w:t>
            </w:r>
          </w:p>
        </w:tc>
        <w:tc>
          <w:tcPr>
            <w:tcW w:w="1496" w:type="dxa"/>
          </w:tcPr>
          <w:p w:rsidR="00D269FC" w:rsidRPr="002B0180" w:rsidRDefault="002B0180" w:rsidP="00D269F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B0180">
              <w:rPr>
                <w:rFonts w:ascii="Arial" w:hAnsi="Arial" w:cs="Arial"/>
                <w:sz w:val="20"/>
              </w:rPr>
              <w:t>403.585,33</w:t>
            </w:r>
          </w:p>
        </w:tc>
      </w:tr>
      <w:tr w:rsidR="00D269FC" w:rsidRPr="00162900" w:rsidTr="007B30E3">
        <w:trPr>
          <w:trHeight w:val="255"/>
        </w:trPr>
        <w:tc>
          <w:tcPr>
            <w:cnfStyle w:val="001000000000" w:firstRow="0" w:lastRow="0" w:firstColumn="1" w:lastColumn="0" w:oddVBand="0" w:evenVBand="0" w:oddHBand="0" w:evenHBand="0" w:firstRowFirstColumn="0" w:firstRowLastColumn="0" w:lastRowFirstColumn="0" w:lastRowLastColumn="0"/>
            <w:tcW w:w="2683" w:type="dxa"/>
          </w:tcPr>
          <w:p w:rsidR="00D269FC" w:rsidRPr="002B0180" w:rsidRDefault="00D269FC" w:rsidP="00D269FC">
            <w:pPr>
              <w:rPr>
                <w:rFonts w:ascii="Arial" w:hAnsi="Arial" w:cs="Arial"/>
                <w:bCs w:val="0"/>
                <w:color w:val="215868" w:themeColor="accent5" w:themeShade="80"/>
                <w:sz w:val="20"/>
                <w:szCs w:val="20"/>
              </w:rPr>
            </w:pPr>
          </w:p>
        </w:tc>
        <w:tc>
          <w:tcPr>
            <w:tcW w:w="1672" w:type="dxa"/>
          </w:tcPr>
          <w:p w:rsidR="00D269FC" w:rsidRPr="002B0180" w:rsidRDefault="002B0180"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2B0180">
              <w:rPr>
                <w:rFonts w:ascii="Arial" w:hAnsi="Arial" w:cs="Arial"/>
                <w:b/>
                <w:sz w:val="20"/>
              </w:rPr>
              <w:t>4.138.062,29</w:t>
            </w:r>
          </w:p>
        </w:tc>
        <w:tc>
          <w:tcPr>
            <w:tcW w:w="1672" w:type="dxa"/>
          </w:tcPr>
          <w:p w:rsidR="00D269FC" w:rsidRPr="002B0180" w:rsidRDefault="002B0180"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2B0180">
              <w:rPr>
                <w:rFonts w:ascii="Arial" w:hAnsi="Arial" w:cs="Arial"/>
                <w:b/>
                <w:sz w:val="20"/>
              </w:rPr>
              <w:t>3.856.741,77</w:t>
            </w:r>
          </w:p>
        </w:tc>
        <w:tc>
          <w:tcPr>
            <w:tcW w:w="1549" w:type="dxa"/>
          </w:tcPr>
          <w:p w:rsidR="00D269FC" w:rsidRPr="002B0180" w:rsidRDefault="002B0180"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2B0180">
              <w:rPr>
                <w:rFonts w:ascii="Arial" w:hAnsi="Arial" w:cs="Arial"/>
                <w:b/>
                <w:sz w:val="20"/>
              </w:rPr>
              <w:t>3.838.767,42</w:t>
            </w:r>
          </w:p>
        </w:tc>
        <w:tc>
          <w:tcPr>
            <w:tcW w:w="1496" w:type="dxa"/>
          </w:tcPr>
          <w:p w:rsidR="00D269FC" w:rsidRPr="002B0180" w:rsidRDefault="002B0180" w:rsidP="00D269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2B0180">
              <w:rPr>
                <w:rFonts w:ascii="Arial" w:hAnsi="Arial" w:cs="Arial"/>
                <w:b/>
                <w:sz w:val="20"/>
              </w:rPr>
              <w:t>3.837.491,39</w:t>
            </w:r>
          </w:p>
        </w:tc>
      </w:tr>
    </w:tbl>
    <w:p w:rsidR="00777BDF" w:rsidRDefault="00777BDF" w:rsidP="00777BDF">
      <w:pPr>
        <w:spacing w:after="0" w:line="240" w:lineRule="auto"/>
        <w:jc w:val="both"/>
        <w:rPr>
          <w:rFonts w:ascii="Arial" w:hAnsi="Arial" w:cs="Arial"/>
          <w:bCs/>
          <w:sz w:val="24"/>
          <w:szCs w:val="24"/>
        </w:rPr>
      </w:pPr>
    </w:p>
    <w:p w:rsidR="00162900" w:rsidRPr="008F79AF" w:rsidRDefault="00866262" w:rsidP="008F79AF">
      <w:pPr>
        <w:spacing w:line="240" w:lineRule="auto"/>
        <w:jc w:val="both"/>
        <w:rPr>
          <w:rFonts w:ascii="Arial" w:hAnsi="Arial" w:cs="Arial"/>
          <w:bCs/>
          <w:sz w:val="24"/>
          <w:szCs w:val="24"/>
        </w:rPr>
      </w:pPr>
      <w:r w:rsidRPr="008F79AF">
        <w:rPr>
          <w:rFonts w:ascii="Arial" w:hAnsi="Arial" w:cs="Arial"/>
          <w:bCs/>
          <w:sz w:val="24"/>
          <w:szCs w:val="24"/>
        </w:rPr>
        <w:lastRenderedPageBreak/>
        <w:t xml:space="preserve">As despesas relativas </w:t>
      </w:r>
      <w:r w:rsidR="00E70E4A" w:rsidRPr="008F79AF">
        <w:rPr>
          <w:rFonts w:ascii="Arial" w:hAnsi="Arial" w:cs="Arial"/>
          <w:bCs/>
          <w:sz w:val="24"/>
          <w:szCs w:val="24"/>
        </w:rPr>
        <w:t>à</w:t>
      </w:r>
      <w:r w:rsidRPr="008F79AF">
        <w:rPr>
          <w:rFonts w:ascii="Arial" w:hAnsi="Arial" w:cs="Arial"/>
          <w:bCs/>
          <w:sz w:val="24"/>
          <w:szCs w:val="24"/>
        </w:rPr>
        <w:t xml:space="preserve"> Pessoal e Encargos Sociais</w:t>
      </w:r>
      <w:r w:rsidR="000A2774">
        <w:rPr>
          <w:rFonts w:ascii="Arial" w:hAnsi="Arial" w:cs="Arial"/>
          <w:bCs/>
          <w:sz w:val="24"/>
          <w:szCs w:val="24"/>
        </w:rPr>
        <w:t xml:space="preserve"> e Investimentos</w:t>
      </w:r>
      <w:r w:rsidRPr="008F79AF">
        <w:rPr>
          <w:rFonts w:ascii="Arial" w:hAnsi="Arial" w:cs="Arial"/>
          <w:bCs/>
          <w:sz w:val="24"/>
          <w:szCs w:val="24"/>
        </w:rPr>
        <w:t>, foram empenhadas, liquidadas e pagas no mesmo montante em cada categoria econômica, com saldo da despesa atualizada fixada suficiente, demonstrando ainda economia orçamentária.</w:t>
      </w:r>
    </w:p>
    <w:p w:rsidR="00866262" w:rsidRPr="008F79AF" w:rsidRDefault="00866262" w:rsidP="000A2774">
      <w:pPr>
        <w:spacing w:after="0" w:line="240" w:lineRule="auto"/>
        <w:jc w:val="both"/>
        <w:rPr>
          <w:rFonts w:ascii="Arial" w:hAnsi="Arial" w:cs="Arial"/>
          <w:bCs/>
          <w:sz w:val="24"/>
          <w:szCs w:val="24"/>
        </w:rPr>
      </w:pPr>
      <w:r w:rsidRPr="008F79AF">
        <w:rPr>
          <w:rFonts w:ascii="Arial" w:hAnsi="Arial" w:cs="Arial"/>
          <w:bCs/>
          <w:sz w:val="24"/>
          <w:szCs w:val="24"/>
        </w:rPr>
        <w:t xml:space="preserve">As despesas com </w:t>
      </w:r>
      <w:r w:rsidR="008F79AF" w:rsidRPr="008F79AF">
        <w:rPr>
          <w:rFonts w:ascii="Arial" w:hAnsi="Arial" w:cs="Arial"/>
          <w:bCs/>
          <w:sz w:val="24"/>
          <w:szCs w:val="24"/>
        </w:rPr>
        <w:t>Outras Despesas Correntes, durante a execução, respeitando os estágios da despesa definidos pela Lei Federal 4.320/194, ficaram com saldo a liquidar e saldo a pagar, tendo em vista o não recebimento/conferência dos serviços e produtos, e/ou a ordem cronológica de pagamento das referidas despesas.</w:t>
      </w:r>
    </w:p>
    <w:p w:rsidR="00855A6A" w:rsidRDefault="00855A6A" w:rsidP="00855A6A">
      <w:pPr>
        <w:spacing w:line="240" w:lineRule="auto"/>
        <w:jc w:val="both"/>
        <w:rPr>
          <w:rFonts w:ascii="Arial" w:hAnsi="Arial" w:cs="Arial"/>
          <w:bCs/>
          <w:sz w:val="24"/>
          <w:szCs w:val="24"/>
        </w:rPr>
      </w:pPr>
    </w:p>
    <w:p w:rsidR="00855A6A" w:rsidRPr="00116D9A" w:rsidRDefault="00855A6A" w:rsidP="00855A6A">
      <w:pPr>
        <w:spacing w:line="240" w:lineRule="auto"/>
        <w:jc w:val="both"/>
        <w:rPr>
          <w:rFonts w:ascii="Arial" w:hAnsi="Arial" w:cs="Arial"/>
          <w:bCs/>
          <w:sz w:val="24"/>
          <w:szCs w:val="24"/>
        </w:rPr>
      </w:pPr>
      <w:r>
        <w:rPr>
          <w:rFonts w:ascii="Arial" w:hAnsi="Arial" w:cs="Arial"/>
          <w:bCs/>
          <w:sz w:val="24"/>
          <w:szCs w:val="24"/>
        </w:rPr>
        <w:t>T</w:t>
      </w:r>
      <w:r w:rsidRPr="00116D9A">
        <w:rPr>
          <w:rFonts w:ascii="Arial" w:hAnsi="Arial" w:cs="Arial"/>
          <w:bCs/>
          <w:sz w:val="24"/>
          <w:szCs w:val="24"/>
        </w:rPr>
        <w:t>o</w:t>
      </w:r>
      <w:r>
        <w:rPr>
          <w:rFonts w:ascii="Arial" w:hAnsi="Arial" w:cs="Arial"/>
          <w:bCs/>
          <w:sz w:val="24"/>
          <w:szCs w:val="24"/>
        </w:rPr>
        <w:t>das</w:t>
      </w:r>
      <w:r w:rsidRPr="00116D9A">
        <w:rPr>
          <w:rFonts w:ascii="Arial" w:hAnsi="Arial" w:cs="Arial"/>
          <w:bCs/>
          <w:sz w:val="24"/>
          <w:szCs w:val="24"/>
        </w:rPr>
        <w:t xml:space="preserve"> as despesas tiveram saldo orçamentário atualizado suficiente para cobertura das despesas do exercício.</w:t>
      </w:r>
    </w:p>
    <w:p w:rsidR="00770D57" w:rsidRDefault="00770D57" w:rsidP="000A2774">
      <w:pPr>
        <w:spacing w:after="0" w:line="240" w:lineRule="auto"/>
        <w:jc w:val="both"/>
        <w:rPr>
          <w:rFonts w:ascii="Arial" w:hAnsi="Arial" w:cs="Arial"/>
          <w:bCs/>
          <w:sz w:val="24"/>
          <w:szCs w:val="24"/>
        </w:rPr>
      </w:pPr>
    </w:p>
    <w:p w:rsidR="008A3226" w:rsidRDefault="008A3226" w:rsidP="000A2774">
      <w:pPr>
        <w:spacing w:after="0" w:line="240" w:lineRule="auto"/>
        <w:jc w:val="both"/>
        <w:rPr>
          <w:rFonts w:ascii="Arial" w:hAnsi="Arial" w:cs="Arial"/>
          <w:b/>
          <w:bCs/>
          <w:color w:val="215868" w:themeColor="accent5" w:themeShade="80"/>
          <w:sz w:val="24"/>
          <w:szCs w:val="24"/>
        </w:rPr>
      </w:pPr>
      <w:r w:rsidRPr="00D508EF">
        <w:rPr>
          <w:rFonts w:ascii="Arial" w:hAnsi="Arial" w:cs="Arial"/>
          <w:b/>
          <w:bCs/>
          <w:color w:val="215868" w:themeColor="accent5" w:themeShade="80"/>
          <w:sz w:val="24"/>
          <w:szCs w:val="24"/>
        </w:rPr>
        <w:t xml:space="preserve">6 </w:t>
      </w:r>
      <w:r w:rsidR="000C46AF" w:rsidRPr="000C46AF">
        <w:rPr>
          <w:rFonts w:ascii="Arial" w:hAnsi="Arial" w:cs="Arial"/>
          <w:b/>
          <w:bCs/>
          <w:color w:val="215868" w:themeColor="accent5" w:themeShade="80"/>
          <w:sz w:val="24"/>
          <w:szCs w:val="24"/>
        </w:rPr>
        <w:t>Avaliação do estoque de restos a pagar processados e não processados</w:t>
      </w:r>
    </w:p>
    <w:p w:rsidR="00855A6A" w:rsidRDefault="00855A6A" w:rsidP="00855A6A">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9.149,50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sendo estes pagos no ano.</w:t>
      </w:r>
      <w:r w:rsidRPr="00DF4B19">
        <w:rPr>
          <w:rFonts w:ascii="Arial" w:hAnsi="Arial" w:cs="Arial"/>
          <w:bCs/>
          <w:sz w:val="24"/>
          <w:szCs w:val="24"/>
        </w:rPr>
        <w:t xml:space="preserve"> </w:t>
      </w:r>
      <w:r>
        <w:rPr>
          <w:rFonts w:ascii="Arial" w:hAnsi="Arial" w:cs="Arial"/>
          <w:bCs/>
          <w:sz w:val="24"/>
          <w:szCs w:val="24"/>
        </w:rPr>
        <w:t>A entidade FMS inscreveu em restos a pagar não processados R$ 17.974,35.</w:t>
      </w:r>
    </w:p>
    <w:p w:rsidR="00855A6A" w:rsidRDefault="00855A6A" w:rsidP="00855A6A">
      <w:pPr>
        <w:spacing w:after="0" w:line="240" w:lineRule="auto"/>
        <w:jc w:val="both"/>
        <w:rPr>
          <w:rFonts w:ascii="Arial" w:hAnsi="Arial" w:cs="Arial"/>
          <w:bCs/>
          <w:sz w:val="24"/>
          <w:szCs w:val="24"/>
        </w:rPr>
      </w:pPr>
    </w:p>
    <w:p w:rsidR="00855A6A" w:rsidRDefault="00855A6A" w:rsidP="00855A6A">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1.040,13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R$ 915,13 pagos e R$ 125,00, cancelados, no exercício.</w:t>
      </w:r>
    </w:p>
    <w:p w:rsidR="00855A6A" w:rsidRPr="001A008C" w:rsidRDefault="00855A6A" w:rsidP="00855A6A">
      <w:pPr>
        <w:spacing w:after="0" w:line="240" w:lineRule="auto"/>
        <w:jc w:val="both"/>
        <w:rPr>
          <w:rFonts w:ascii="Arial" w:hAnsi="Arial" w:cs="Arial"/>
          <w:b/>
          <w:bCs/>
          <w:color w:val="215868" w:themeColor="accent5" w:themeShade="80"/>
          <w:sz w:val="24"/>
          <w:szCs w:val="24"/>
        </w:rPr>
      </w:pPr>
      <w:r>
        <w:rPr>
          <w:rFonts w:ascii="Arial" w:hAnsi="Arial" w:cs="Arial"/>
          <w:bCs/>
          <w:sz w:val="24"/>
          <w:szCs w:val="24"/>
        </w:rPr>
        <w:t>No</w:t>
      </w:r>
      <w:r w:rsidRPr="008D5259">
        <w:rPr>
          <w:rFonts w:ascii="Arial" w:hAnsi="Arial" w:cs="Arial"/>
          <w:bCs/>
          <w:sz w:val="24"/>
          <w:szCs w:val="24"/>
        </w:rPr>
        <w:t xml:space="preserve"> exercício de </w:t>
      </w:r>
      <w:r>
        <w:rPr>
          <w:rFonts w:ascii="Arial" w:hAnsi="Arial" w:cs="Arial"/>
          <w:bCs/>
          <w:sz w:val="24"/>
          <w:szCs w:val="24"/>
        </w:rPr>
        <w:t>2019 houve a inscrição de R$ 1.276,03, em restos a pagar processados.</w:t>
      </w:r>
    </w:p>
    <w:p w:rsidR="00855A6A" w:rsidRDefault="00855A6A" w:rsidP="00855A6A">
      <w:pPr>
        <w:spacing w:after="0" w:line="240" w:lineRule="auto"/>
        <w:jc w:val="both"/>
        <w:rPr>
          <w:rFonts w:ascii="Arial" w:hAnsi="Arial" w:cs="Arial"/>
          <w:bCs/>
          <w:sz w:val="24"/>
          <w:szCs w:val="24"/>
        </w:rPr>
      </w:pPr>
    </w:p>
    <w:p w:rsidR="00855A6A" w:rsidRDefault="00855A6A" w:rsidP="00FC054E">
      <w:pPr>
        <w:spacing w:after="0" w:line="240" w:lineRule="auto"/>
        <w:rPr>
          <w:rFonts w:ascii="Arial" w:hAnsi="Arial" w:cs="Arial"/>
          <w:b/>
          <w:bCs/>
          <w:color w:val="984806" w:themeColor="accent6" w:themeShade="80"/>
          <w:sz w:val="24"/>
          <w:szCs w:val="24"/>
        </w:rPr>
      </w:pPr>
    </w:p>
    <w:p w:rsidR="00855A6A" w:rsidRPr="001A008C" w:rsidRDefault="00855A6A" w:rsidP="00FC054E">
      <w:pPr>
        <w:spacing w:after="0" w:line="240" w:lineRule="auto"/>
        <w:rPr>
          <w:rFonts w:ascii="Arial" w:hAnsi="Arial" w:cs="Arial"/>
          <w:b/>
          <w:bCs/>
          <w:color w:val="984806" w:themeColor="accent6" w:themeShade="80"/>
          <w:sz w:val="24"/>
          <w:szCs w:val="24"/>
        </w:rPr>
      </w:pPr>
    </w:p>
    <w:p w:rsidR="008A3226" w:rsidRDefault="005A63BA" w:rsidP="00FC054E">
      <w:pPr>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NOTAS EXPLICATIVAS AO BALANÇO PATRIMONIAL</w:t>
      </w:r>
    </w:p>
    <w:p w:rsidR="0093664A" w:rsidRPr="00FC054E" w:rsidRDefault="0093664A" w:rsidP="00FC054E">
      <w:pPr>
        <w:spacing w:after="0" w:line="240" w:lineRule="auto"/>
        <w:rPr>
          <w:rFonts w:ascii="Arial" w:hAnsi="Arial" w:cs="Arial"/>
          <w:b/>
          <w:bCs/>
          <w:color w:val="984806" w:themeColor="accent6" w:themeShade="80"/>
          <w:sz w:val="24"/>
          <w:szCs w:val="24"/>
        </w:rPr>
      </w:pPr>
    </w:p>
    <w:p w:rsidR="001A008C" w:rsidRPr="00FC054E" w:rsidRDefault="001A008C" w:rsidP="00FC054E">
      <w:pPr>
        <w:spacing w:after="0" w:line="240" w:lineRule="auto"/>
        <w:rPr>
          <w:rFonts w:ascii="Arial" w:hAnsi="Arial" w:cs="Arial"/>
          <w:b/>
          <w:bCs/>
          <w:color w:val="984806" w:themeColor="accent6" w:themeShade="80"/>
          <w:sz w:val="24"/>
          <w:szCs w:val="24"/>
        </w:rPr>
      </w:pPr>
    </w:p>
    <w:p w:rsidR="004033FD" w:rsidRDefault="004033FD" w:rsidP="00777BDF">
      <w:pPr>
        <w:spacing w:after="0" w:line="240" w:lineRule="auto"/>
        <w:jc w:val="both"/>
        <w:rPr>
          <w:rFonts w:ascii="Arial" w:hAnsi="Arial" w:cs="Arial"/>
          <w:bCs/>
          <w:sz w:val="24"/>
          <w:szCs w:val="24"/>
        </w:rPr>
      </w:pPr>
      <w:r w:rsidRPr="00FC054E">
        <w:rPr>
          <w:rFonts w:ascii="Arial" w:hAnsi="Arial" w:cs="Arial"/>
          <w:bCs/>
          <w:sz w:val="24"/>
          <w:szCs w:val="24"/>
        </w:rPr>
        <w:t>As</w:t>
      </w:r>
      <w:r w:rsidRPr="004033FD">
        <w:rPr>
          <w:rFonts w:ascii="Arial" w:hAnsi="Arial" w:cs="Arial"/>
          <w:bCs/>
          <w:sz w:val="24"/>
          <w:szCs w:val="24"/>
        </w:rPr>
        <w:t xml:space="preserve"> informações de suporte as Notas Explicativas estão detalhadas em itens anteriores deste relatório.</w:t>
      </w:r>
    </w:p>
    <w:p w:rsidR="001A008C" w:rsidRDefault="001A008C" w:rsidP="001A008C">
      <w:pPr>
        <w:spacing w:after="0" w:line="240" w:lineRule="auto"/>
        <w:rPr>
          <w:rFonts w:ascii="Arial" w:hAnsi="Arial" w:cs="Arial"/>
          <w:bCs/>
          <w:sz w:val="24"/>
          <w:szCs w:val="24"/>
        </w:rPr>
      </w:pPr>
    </w:p>
    <w:p w:rsidR="001A008C" w:rsidRDefault="001A008C" w:rsidP="001A008C">
      <w:pPr>
        <w:spacing w:after="0" w:line="240" w:lineRule="auto"/>
        <w:rPr>
          <w:rFonts w:ascii="Arial" w:hAnsi="Arial" w:cs="Arial"/>
          <w:bCs/>
          <w:sz w:val="24"/>
          <w:szCs w:val="24"/>
        </w:rPr>
      </w:pPr>
    </w:p>
    <w:p w:rsidR="008A3226" w:rsidRPr="00D510B2" w:rsidRDefault="008A3226" w:rsidP="00D510B2">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D510B2">
        <w:rPr>
          <w:rFonts w:ascii="Arial" w:hAnsi="Arial" w:cs="Arial"/>
          <w:b/>
          <w:bCs/>
          <w:color w:val="215868" w:themeColor="accent5" w:themeShade="80"/>
          <w:sz w:val="24"/>
          <w:szCs w:val="24"/>
        </w:rPr>
        <w:t>Caixa e equivalente de caixa</w:t>
      </w:r>
    </w:p>
    <w:p w:rsidR="006162F4" w:rsidRPr="006162F4" w:rsidRDefault="006162F4" w:rsidP="003A6484">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Aplicações Financeiras</w:t>
      </w:r>
    </w:p>
    <w:p w:rsidR="004033FD" w:rsidRDefault="004033FD" w:rsidP="006162F4">
      <w:pPr>
        <w:spacing w:line="240" w:lineRule="auto"/>
        <w:jc w:val="both"/>
        <w:rPr>
          <w:rFonts w:ascii="Arial" w:hAnsi="Arial" w:cs="Arial"/>
          <w:bCs/>
          <w:sz w:val="24"/>
          <w:szCs w:val="24"/>
        </w:rPr>
      </w:pPr>
      <w:r w:rsidRPr="006162F4">
        <w:rPr>
          <w:rFonts w:ascii="Arial" w:hAnsi="Arial" w:cs="Arial"/>
          <w:bCs/>
          <w:sz w:val="24"/>
          <w:szCs w:val="24"/>
        </w:rPr>
        <w:t>As disponibilidades financeiras d</w:t>
      </w:r>
      <w:r w:rsidR="00B939AB">
        <w:rPr>
          <w:rFonts w:ascii="Arial" w:hAnsi="Arial" w:cs="Arial"/>
          <w:bCs/>
          <w:sz w:val="24"/>
          <w:szCs w:val="24"/>
        </w:rPr>
        <w:t>o</w:t>
      </w:r>
      <w:r w:rsidR="009E120F">
        <w:rPr>
          <w:rFonts w:ascii="Arial" w:hAnsi="Arial" w:cs="Arial"/>
          <w:bCs/>
          <w:sz w:val="24"/>
          <w:szCs w:val="24"/>
        </w:rPr>
        <w:t xml:space="preserve"> Fundo Municipal de Saúde</w:t>
      </w:r>
      <w:r w:rsidRPr="006162F4">
        <w:rPr>
          <w:rFonts w:ascii="Arial" w:hAnsi="Arial" w:cs="Arial"/>
          <w:bCs/>
          <w:sz w:val="24"/>
          <w:szCs w:val="24"/>
        </w:rPr>
        <w:t xml:space="preserve"> estão aplicadas em bancos oficiais. O registro contábil das aplicações financeiras ocorre em forma de receita de Remuneração de Depósitos Bancários</w:t>
      </w:r>
      <w:r w:rsidR="00855A6A">
        <w:rPr>
          <w:rFonts w:ascii="Arial" w:hAnsi="Arial" w:cs="Arial"/>
          <w:bCs/>
          <w:sz w:val="24"/>
          <w:szCs w:val="24"/>
        </w:rPr>
        <w:t>.</w:t>
      </w:r>
    </w:p>
    <w:p w:rsidR="006162F4" w:rsidRPr="006162F4" w:rsidRDefault="006162F4" w:rsidP="00D508EF">
      <w:pPr>
        <w:spacing w:after="0" w:line="240" w:lineRule="auto"/>
        <w:rPr>
          <w:rFonts w:ascii="Arial" w:hAnsi="Arial" w:cs="Arial"/>
          <w:bCs/>
          <w:color w:val="215868" w:themeColor="accent5" w:themeShade="80"/>
          <w:sz w:val="24"/>
          <w:szCs w:val="24"/>
        </w:rPr>
      </w:pPr>
      <w:r w:rsidRPr="006162F4">
        <w:rPr>
          <w:rFonts w:ascii="Arial" w:hAnsi="Arial" w:cs="Arial"/>
          <w:bCs/>
          <w:color w:val="215868" w:themeColor="accent5" w:themeShade="80"/>
          <w:sz w:val="24"/>
          <w:szCs w:val="24"/>
        </w:rPr>
        <w:t>Fontes de Recurso.</w:t>
      </w:r>
    </w:p>
    <w:p w:rsidR="004033FD" w:rsidRDefault="00781F22" w:rsidP="00D508EF">
      <w:pPr>
        <w:spacing w:after="0" w:line="240" w:lineRule="auto"/>
        <w:jc w:val="both"/>
        <w:rPr>
          <w:rFonts w:ascii="Arial" w:hAnsi="Arial" w:cs="Arial"/>
          <w:bCs/>
          <w:sz w:val="24"/>
          <w:szCs w:val="24"/>
        </w:rPr>
      </w:pPr>
      <w:r w:rsidRPr="006162F4">
        <w:rPr>
          <w:rFonts w:ascii="Arial" w:hAnsi="Arial" w:cs="Arial"/>
          <w:bCs/>
          <w:sz w:val="24"/>
          <w:szCs w:val="24"/>
        </w:rPr>
        <w:t>A contas contábeis bancárias possuem natureza devedora, e na sua composição contas corrente</w:t>
      </w:r>
      <w:r w:rsidR="00B939AB">
        <w:rPr>
          <w:rFonts w:ascii="Arial" w:hAnsi="Arial" w:cs="Arial"/>
          <w:bCs/>
          <w:sz w:val="24"/>
          <w:szCs w:val="24"/>
        </w:rPr>
        <w:t>s</w:t>
      </w:r>
      <w:r w:rsidRPr="006162F4">
        <w:rPr>
          <w:rFonts w:ascii="Arial" w:hAnsi="Arial" w:cs="Arial"/>
          <w:bCs/>
          <w:sz w:val="24"/>
          <w:szCs w:val="24"/>
        </w:rPr>
        <w:t xml:space="preserve"> do tipo fonte de recurso, de acordo com a codificação definida pelo Tribunal de Contas de Santa Catarina, classificando como recursos do exercício, superávit do exercício anterior e ainda a vinculação específica de cada origem dos </w:t>
      </w:r>
      <w:r w:rsidRPr="006162F4">
        <w:rPr>
          <w:rFonts w:ascii="Arial" w:hAnsi="Arial" w:cs="Arial"/>
          <w:bCs/>
          <w:sz w:val="24"/>
          <w:szCs w:val="24"/>
        </w:rPr>
        <w:lastRenderedPageBreak/>
        <w:t xml:space="preserve">recursos, como um determinado </w:t>
      </w:r>
      <w:r w:rsidR="00B939AB">
        <w:rPr>
          <w:rFonts w:ascii="Arial" w:hAnsi="Arial" w:cs="Arial"/>
          <w:bCs/>
          <w:sz w:val="24"/>
          <w:szCs w:val="24"/>
        </w:rPr>
        <w:t>bloco ou componente do SUS</w:t>
      </w:r>
      <w:r w:rsidR="006162F4" w:rsidRPr="006162F4">
        <w:rPr>
          <w:rFonts w:ascii="Arial" w:hAnsi="Arial" w:cs="Arial"/>
          <w:bCs/>
          <w:sz w:val="24"/>
          <w:szCs w:val="24"/>
        </w:rPr>
        <w:t>. Essa classificação facilita o controle dos recursos de acordo com sua origem.</w:t>
      </w:r>
      <w:r w:rsidRPr="006162F4">
        <w:rPr>
          <w:rFonts w:ascii="Arial" w:hAnsi="Arial" w:cs="Arial"/>
          <w:bCs/>
          <w:sz w:val="24"/>
          <w:szCs w:val="24"/>
        </w:rPr>
        <w:t xml:space="preserve"> </w:t>
      </w:r>
    </w:p>
    <w:p w:rsidR="00D508EF" w:rsidRDefault="00D508EF" w:rsidP="00D508EF">
      <w:pPr>
        <w:spacing w:after="0" w:line="240" w:lineRule="auto"/>
        <w:jc w:val="both"/>
        <w:rPr>
          <w:rFonts w:ascii="Arial" w:hAnsi="Arial" w:cs="Arial"/>
          <w:bCs/>
          <w:sz w:val="24"/>
          <w:szCs w:val="24"/>
        </w:rPr>
      </w:pPr>
    </w:p>
    <w:p w:rsidR="006162F4" w:rsidRPr="006162F4" w:rsidRDefault="006162F4" w:rsidP="00D508EF">
      <w:pPr>
        <w:spacing w:after="0" w:line="240" w:lineRule="auto"/>
        <w:rPr>
          <w:rFonts w:ascii="Arial" w:hAnsi="Arial" w:cs="Arial"/>
          <w:bCs/>
          <w:color w:val="215868" w:themeColor="accent5" w:themeShade="80"/>
          <w:sz w:val="24"/>
          <w:szCs w:val="24"/>
        </w:rPr>
      </w:pPr>
      <w:r w:rsidRPr="006162F4">
        <w:rPr>
          <w:rFonts w:ascii="Arial" w:hAnsi="Arial" w:cs="Arial"/>
          <w:bCs/>
          <w:color w:val="215868" w:themeColor="accent5" w:themeShade="80"/>
          <w:sz w:val="24"/>
          <w:szCs w:val="24"/>
        </w:rPr>
        <w:t>Forma de arrecadação</w:t>
      </w:r>
    </w:p>
    <w:p w:rsidR="006162F4" w:rsidRDefault="009E120F" w:rsidP="00D508EF">
      <w:pPr>
        <w:spacing w:after="0" w:line="240" w:lineRule="auto"/>
        <w:jc w:val="both"/>
        <w:rPr>
          <w:rFonts w:ascii="Arial" w:hAnsi="Arial" w:cs="Arial"/>
          <w:bCs/>
          <w:sz w:val="24"/>
          <w:szCs w:val="24"/>
        </w:rPr>
      </w:pPr>
      <w:r>
        <w:rPr>
          <w:rFonts w:ascii="Arial" w:hAnsi="Arial" w:cs="Arial"/>
          <w:bCs/>
          <w:sz w:val="24"/>
          <w:szCs w:val="24"/>
        </w:rPr>
        <w:t>O Fundo Municipal de Saúde</w:t>
      </w:r>
      <w:r w:rsidR="006162F4">
        <w:rPr>
          <w:rFonts w:ascii="Arial" w:hAnsi="Arial" w:cs="Arial"/>
          <w:bCs/>
          <w:sz w:val="24"/>
          <w:szCs w:val="24"/>
        </w:rPr>
        <w:t xml:space="preserve"> não recebe ou arrecada recursos financeiros </w:t>
      </w:r>
      <w:r w:rsidR="00B939AB">
        <w:rPr>
          <w:rFonts w:ascii="Arial" w:hAnsi="Arial" w:cs="Arial"/>
          <w:bCs/>
          <w:sz w:val="24"/>
          <w:szCs w:val="24"/>
        </w:rPr>
        <w:t>n</w:t>
      </w:r>
      <w:r w:rsidR="006162F4">
        <w:rPr>
          <w:rFonts w:ascii="Arial" w:hAnsi="Arial" w:cs="Arial"/>
          <w:bCs/>
          <w:sz w:val="24"/>
          <w:szCs w:val="24"/>
        </w:rPr>
        <w:t>a Unidade Administrativa, apenas via instituições bancárias.</w:t>
      </w:r>
    </w:p>
    <w:p w:rsidR="001A008C" w:rsidRDefault="001A008C" w:rsidP="00D508EF">
      <w:pPr>
        <w:spacing w:after="0" w:line="240" w:lineRule="auto"/>
        <w:jc w:val="both"/>
        <w:rPr>
          <w:rFonts w:ascii="Arial" w:hAnsi="Arial" w:cs="Arial"/>
          <w:bCs/>
          <w:sz w:val="24"/>
          <w:szCs w:val="24"/>
        </w:rPr>
      </w:pPr>
    </w:p>
    <w:p w:rsidR="00DC433F" w:rsidRDefault="00DC433F" w:rsidP="00D508EF">
      <w:pPr>
        <w:spacing w:after="0" w:line="240" w:lineRule="auto"/>
        <w:jc w:val="both"/>
        <w:rPr>
          <w:rFonts w:ascii="Arial" w:hAnsi="Arial" w:cs="Arial"/>
          <w:bCs/>
          <w:sz w:val="24"/>
          <w:szCs w:val="24"/>
        </w:rPr>
      </w:pPr>
    </w:p>
    <w:p w:rsidR="008A3226" w:rsidRPr="002C76AA" w:rsidRDefault="008A3226" w:rsidP="002C76AA">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2C76AA">
        <w:rPr>
          <w:rFonts w:ascii="Arial" w:hAnsi="Arial" w:cs="Arial"/>
          <w:b/>
          <w:bCs/>
          <w:color w:val="215868" w:themeColor="accent5" w:themeShade="80"/>
          <w:sz w:val="24"/>
          <w:szCs w:val="24"/>
        </w:rPr>
        <w:t>Crédito</w:t>
      </w:r>
      <w:r w:rsidR="003877AE" w:rsidRPr="002C76AA">
        <w:rPr>
          <w:rFonts w:ascii="Arial" w:hAnsi="Arial" w:cs="Arial"/>
          <w:b/>
          <w:bCs/>
          <w:color w:val="215868" w:themeColor="accent5" w:themeShade="80"/>
          <w:sz w:val="24"/>
          <w:szCs w:val="24"/>
        </w:rPr>
        <w:t>s a Curto Prazo e a Longo Prazo</w:t>
      </w:r>
    </w:p>
    <w:p w:rsidR="009327F0" w:rsidRDefault="009327F0" w:rsidP="00777BDF">
      <w:pPr>
        <w:spacing w:after="0" w:line="240" w:lineRule="auto"/>
        <w:jc w:val="both"/>
        <w:rPr>
          <w:rFonts w:ascii="Arial" w:hAnsi="Arial" w:cs="Arial"/>
          <w:bCs/>
          <w:sz w:val="24"/>
          <w:szCs w:val="24"/>
        </w:rPr>
      </w:pPr>
    </w:p>
    <w:p w:rsidR="006162F4" w:rsidRDefault="00B939AB" w:rsidP="00777BDF">
      <w:pPr>
        <w:spacing w:after="0" w:line="240" w:lineRule="auto"/>
        <w:jc w:val="both"/>
        <w:rPr>
          <w:rFonts w:ascii="Arial" w:hAnsi="Arial" w:cs="Arial"/>
          <w:bCs/>
          <w:sz w:val="24"/>
          <w:szCs w:val="24"/>
        </w:rPr>
      </w:pPr>
      <w:r>
        <w:rPr>
          <w:rFonts w:ascii="Arial" w:hAnsi="Arial" w:cs="Arial"/>
          <w:bCs/>
          <w:sz w:val="24"/>
          <w:szCs w:val="24"/>
        </w:rPr>
        <w:t>O Fundo Municipal de Saúde, possui créditos a receber durante o exercício</w:t>
      </w:r>
      <w:r w:rsidR="009B5908">
        <w:rPr>
          <w:rFonts w:ascii="Arial" w:hAnsi="Arial" w:cs="Arial"/>
          <w:bCs/>
          <w:sz w:val="24"/>
          <w:szCs w:val="24"/>
        </w:rPr>
        <w:t xml:space="preserve">, </w:t>
      </w:r>
      <w:r>
        <w:rPr>
          <w:rFonts w:ascii="Arial" w:hAnsi="Arial" w:cs="Arial"/>
          <w:bCs/>
          <w:sz w:val="24"/>
          <w:szCs w:val="24"/>
        </w:rPr>
        <w:t xml:space="preserve">como é </w:t>
      </w:r>
      <w:r w:rsidR="009327F0">
        <w:rPr>
          <w:rFonts w:ascii="Arial" w:hAnsi="Arial" w:cs="Arial"/>
          <w:bCs/>
          <w:sz w:val="24"/>
          <w:szCs w:val="24"/>
        </w:rPr>
        <w:t>dos adiantamento</w:t>
      </w:r>
      <w:r w:rsidR="0045508C">
        <w:rPr>
          <w:rFonts w:ascii="Arial" w:hAnsi="Arial" w:cs="Arial"/>
          <w:bCs/>
          <w:sz w:val="24"/>
          <w:szCs w:val="24"/>
        </w:rPr>
        <w:t>s</w:t>
      </w:r>
      <w:r w:rsidR="009327F0">
        <w:rPr>
          <w:rFonts w:ascii="Arial" w:hAnsi="Arial" w:cs="Arial"/>
          <w:bCs/>
          <w:sz w:val="24"/>
          <w:szCs w:val="24"/>
        </w:rPr>
        <w:t xml:space="preserve"> de férias, créditos por danos ao patrimônio público e das variações patrimoniais diminutivas pagas antecipadamente, totalizando R$ 29.582,90.</w:t>
      </w:r>
    </w:p>
    <w:p w:rsidR="00FC054E" w:rsidRDefault="00FC054E" w:rsidP="00777BDF">
      <w:pPr>
        <w:spacing w:after="0" w:line="240" w:lineRule="auto"/>
        <w:jc w:val="both"/>
        <w:rPr>
          <w:rFonts w:ascii="Arial" w:hAnsi="Arial" w:cs="Arial"/>
          <w:bCs/>
          <w:color w:val="215868" w:themeColor="accent5" w:themeShade="80"/>
          <w:sz w:val="24"/>
          <w:szCs w:val="24"/>
        </w:rPr>
      </w:pPr>
      <w:bookmarkStart w:id="4" w:name="OLE_LINK1"/>
      <w:bookmarkStart w:id="5" w:name="OLE_LINK2"/>
      <w:bookmarkStart w:id="6" w:name="OLE_LINK3"/>
    </w:p>
    <w:bookmarkEnd w:id="4"/>
    <w:bookmarkEnd w:id="5"/>
    <w:bookmarkEnd w:id="6"/>
    <w:p w:rsidR="001A008C" w:rsidRDefault="001A008C" w:rsidP="001A008C">
      <w:pPr>
        <w:spacing w:after="0" w:line="240" w:lineRule="auto"/>
        <w:jc w:val="both"/>
        <w:rPr>
          <w:rFonts w:ascii="Arial" w:hAnsi="Arial" w:cs="Arial"/>
          <w:bCs/>
          <w:color w:val="215868" w:themeColor="accent5" w:themeShade="80"/>
          <w:sz w:val="24"/>
          <w:szCs w:val="24"/>
        </w:rPr>
      </w:pPr>
    </w:p>
    <w:p w:rsidR="008A3226" w:rsidRPr="00FC4903" w:rsidRDefault="00035BAC" w:rsidP="00FC4903">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FC4903">
        <w:rPr>
          <w:rFonts w:ascii="Arial" w:hAnsi="Arial" w:cs="Arial"/>
          <w:b/>
          <w:bCs/>
          <w:color w:val="215868" w:themeColor="accent5" w:themeShade="80"/>
          <w:sz w:val="24"/>
          <w:szCs w:val="24"/>
        </w:rPr>
        <w:t>Investimentos RPPS</w:t>
      </w:r>
    </w:p>
    <w:p w:rsidR="00035BAC" w:rsidRDefault="009E120F" w:rsidP="001A008C">
      <w:pPr>
        <w:spacing w:after="0" w:line="240" w:lineRule="auto"/>
        <w:rPr>
          <w:rFonts w:ascii="Arial" w:hAnsi="Arial" w:cs="Arial"/>
          <w:bCs/>
          <w:sz w:val="24"/>
          <w:szCs w:val="24"/>
        </w:rPr>
      </w:pPr>
      <w:r>
        <w:rPr>
          <w:rFonts w:ascii="Arial" w:hAnsi="Arial" w:cs="Arial"/>
          <w:bCs/>
          <w:sz w:val="24"/>
          <w:szCs w:val="24"/>
        </w:rPr>
        <w:t>O Fundo Municipal de Saúde</w:t>
      </w:r>
      <w:r w:rsidR="00035BAC" w:rsidRPr="00035BAC">
        <w:rPr>
          <w:rFonts w:ascii="Arial" w:hAnsi="Arial" w:cs="Arial"/>
          <w:bCs/>
          <w:sz w:val="24"/>
          <w:szCs w:val="24"/>
        </w:rPr>
        <w:t xml:space="preserve"> não possui investimos RPPS.</w:t>
      </w:r>
    </w:p>
    <w:p w:rsidR="001A008C" w:rsidRDefault="001A008C" w:rsidP="001A008C">
      <w:pPr>
        <w:spacing w:after="0" w:line="240" w:lineRule="auto"/>
        <w:rPr>
          <w:rFonts w:ascii="Arial" w:hAnsi="Arial" w:cs="Arial"/>
          <w:bCs/>
          <w:sz w:val="24"/>
          <w:szCs w:val="24"/>
        </w:rPr>
      </w:pPr>
    </w:p>
    <w:p w:rsidR="001A008C" w:rsidRPr="00035BAC" w:rsidRDefault="001A008C" w:rsidP="001A008C">
      <w:pPr>
        <w:spacing w:after="0" w:line="240" w:lineRule="auto"/>
        <w:rPr>
          <w:rFonts w:ascii="Arial" w:hAnsi="Arial" w:cs="Arial"/>
          <w:bCs/>
          <w:color w:val="215868" w:themeColor="accent5" w:themeShade="80"/>
          <w:sz w:val="24"/>
          <w:szCs w:val="24"/>
        </w:rPr>
      </w:pPr>
    </w:p>
    <w:p w:rsidR="008A3226" w:rsidRPr="00FC4903" w:rsidRDefault="00FB4284" w:rsidP="00FC4903">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FC4903">
        <w:rPr>
          <w:rFonts w:ascii="Arial" w:hAnsi="Arial" w:cs="Arial"/>
          <w:b/>
          <w:bCs/>
          <w:color w:val="215868" w:themeColor="accent5" w:themeShade="80"/>
          <w:sz w:val="24"/>
          <w:szCs w:val="24"/>
        </w:rPr>
        <w:t>Imobilizado</w:t>
      </w:r>
    </w:p>
    <w:p w:rsidR="00D63B9F" w:rsidRDefault="00B616E2" w:rsidP="003A6484">
      <w:pPr>
        <w:spacing w:after="0" w:line="240" w:lineRule="auto"/>
        <w:jc w:val="both"/>
        <w:rPr>
          <w:rFonts w:ascii="Arial" w:hAnsi="Arial" w:cs="Arial"/>
          <w:bCs/>
          <w:sz w:val="24"/>
          <w:szCs w:val="24"/>
        </w:rPr>
      </w:pPr>
      <w:r w:rsidRPr="00B616E2">
        <w:rPr>
          <w:rFonts w:ascii="Arial" w:hAnsi="Arial" w:cs="Arial"/>
          <w:bCs/>
          <w:sz w:val="24"/>
          <w:szCs w:val="24"/>
        </w:rPr>
        <w:t>O patrimônio imobilizado d</w:t>
      </w:r>
      <w:r w:rsidR="00B939AB">
        <w:rPr>
          <w:rFonts w:ascii="Arial" w:hAnsi="Arial" w:cs="Arial"/>
          <w:bCs/>
          <w:sz w:val="24"/>
          <w:szCs w:val="24"/>
        </w:rPr>
        <w:t>o</w:t>
      </w:r>
      <w:r w:rsidR="009E120F">
        <w:rPr>
          <w:rFonts w:ascii="Arial" w:hAnsi="Arial" w:cs="Arial"/>
          <w:bCs/>
          <w:sz w:val="24"/>
          <w:szCs w:val="24"/>
        </w:rPr>
        <w:t xml:space="preserve"> Fundo Municipal de </w:t>
      </w:r>
      <w:r w:rsidR="009E120F" w:rsidRPr="007314DF">
        <w:rPr>
          <w:rFonts w:ascii="Arial" w:hAnsi="Arial" w:cs="Arial"/>
          <w:bCs/>
          <w:sz w:val="24"/>
          <w:szCs w:val="24"/>
        </w:rPr>
        <w:t>Saúde</w:t>
      </w:r>
      <w:r w:rsidRPr="007314DF">
        <w:rPr>
          <w:rFonts w:ascii="Arial" w:hAnsi="Arial" w:cs="Arial"/>
          <w:bCs/>
          <w:sz w:val="24"/>
          <w:szCs w:val="24"/>
        </w:rPr>
        <w:t xml:space="preserve"> somou </w:t>
      </w:r>
      <w:r w:rsidR="00F703D0">
        <w:rPr>
          <w:rFonts w:ascii="Arial" w:hAnsi="Arial" w:cs="Arial"/>
          <w:bCs/>
          <w:sz w:val="24"/>
          <w:szCs w:val="24"/>
        </w:rPr>
        <w:t>2.652.191,96</w:t>
      </w:r>
      <w:r w:rsidRPr="007314DF">
        <w:rPr>
          <w:rFonts w:ascii="Arial" w:hAnsi="Arial" w:cs="Arial"/>
          <w:bCs/>
          <w:sz w:val="24"/>
          <w:szCs w:val="24"/>
        </w:rPr>
        <w:t>, já reduzido sua depreciação. Os bens móve</w:t>
      </w:r>
      <w:r w:rsidR="00777BDF" w:rsidRPr="007314DF">
        <w:rPr>
          <w:rFonts w:ascii="Arial" w:hAnsi="Arial" w:cs="Arial"/>
          <w:bCs/>
          <w:sz w:val="24"/>
          <w:szCs w:val="24"/>
        </w:rPr>
        <w:t>is representam R$</w:t>
      </w:r>
      <w:r w:rsidR="007314DF" w:rsidRPr="007314DF">
        <w:rPr>
          <w:rFonts w:ascii="Arial" w:hAnsi="Arial" w:cs="Arial"/>
          <w:bCs/>
          <w:sz w:val="24"/>
          <w:szCs w:val="24"/>
        </w:rPr>
        <w:t xml:space="preserve"> </w:t>
      </w:r>
      <w:r w:rsidR="00F703D0">
        <w:rPr>
          <w:rFonts w:ascii="Arial" w:hAnsi="Arial" w:cs="Arial"/>
          <w:bCs/>
          <w:sz w:val="24"/>
          <w:szCs w:val="24"/>
        </w:rPr>
        <w:t>724.599,93</w:t>
      </w:r>
      <w:r w:rsidR="007314DF" w:rsidRPr="007314DF">
        <w:rPr>
          <w:rFonts w:ascii="Arial" w:hAnsi="Arial" w:cs="Arial"/>
          <w:bCs/>
          <w:sz w:val="24"/>
          <w:szCs w:val="24"/>
        </w:rPr>
        <w:t xml:space="preserve"> </w:t>
      </w:r>
      <w:r w:rsidR="00777BDF" w:rsidRPr="007314DF">
        <w:rPr>
          <w:rFonts w:ascii="Arial" w:hAnsi="Arial" w:cs="Arial"/>
          <w:bCs/>
          <w:sz w:val="24"/>
          <w:szCs w:val="24"/>
        </w:rPr>
        <w:t xml:space="preserve">e </w:t>
      </w:r>
      <w:r w:rsidRPr="007314DF">
        <w:rPr>
          <w:rFonts w:ascii="Arial" w:hAnsi="Arial" w:cs="Arial"/>
          <w:bCs/>
          <w:sz w:val="24"/>
          <w:szCs w:val="24"/>
        </w:rPr>
        <w:t>os imóveis R$</w:t>
      </w:r>
      <w:r w:rsidR="005A025A">
        <w:rPr>
          <w:rFonts w:ascii="Arial" w:hAnsi="Arial" w:cs="Arial"/>
          <w:bCs/>
          <w:sz w:val="24"/>
          <w:szCs w:val="24"/>
        </w:rPr>
        <w:t xml:space="preserve"> 1.927.592,03</w:t>
      </w:r>
      <w:r w:rsidR="007314DF" w:rsidRPr="007314DF">
        <w:rPr>
          <w:rFonts w:ascii="Arial" w:hAnsi="Arial" w:cs="Arial"/>
          <w:bCs/>
          <w:sz w:val="24"/>
          <w:szCs w:val="24"/>
        </w:rPr>
        <w:t>.</w:t>
      </w:r>
      <w:r w:rsidRPr="007314DF">
        <w:rPr>
          <w:rFonts w:ascii="Arial" w:hAnsi="Arial" w:cs="Arial"/>
          <w:bCs/>
          <w:sz w:val="24"/>
          <w:szCs w:val="24"/>
        </w:rPr>
        <w:t xml:space="preserve"> </w:t>
      </w:r>
    </w:p>
    <w:p w:rsidR="007E2A73" w:rsidRPr="00116D9A" w:rsidRDefault="007E2A73" w:rsidP="007E2A73">
      <w:pPr>
        <w:spacing w:after="0" w:line="240" w:lineRule="auto"/>
        <w:jc w:val="both"/>
        <w:rPr>
          <w:rFonts w:ascii="Arial" w:hAnsi="Arial" w:cs="Arial"/>
          <w:bCs/>
          <w:sz w:val="24"/>
          <w:szCs w:val="24"/>
        </w:rPr>
      </w:pPr>
      <w:r>
        <w:rPr>
          <w:rFonts w:ascii="Arial" w:hAnsi="Arial" w:cs="Arial"/>
          <w:bCs/>
          <w:sz w:val="24"/>
          <w:szCs w:val="24"/>
        </w:rPr>
        <w:t>Esses valores estão atualizados, pois recentemente, com data de corte 01 de dezembro de 2019, foi realizado atualização do patrimônio imobilizado, desde conferência física até atualização dos valores dos bens, para que</w:t>
      </w:r>
      <w:r w:rsidRPr="003D27D6">
        <w:rPr>
          <w:rFonts w:ascii="Arial" w:hAnsi="Arial" w:cs="Arial"/>
          <w:sz w:val="24"/>
          <w:szCs w:val="24"/>
        </w:rPr>
        <w:t xml:space="preserve"> </w:t>
      </w:r>
      <w:r>
        <w:rPr>
          <w:rFonts w:ascii="Arial" w:hAnsi="Arial" w:cs="Arial"/>
          <w:sz w:val="24"/>
          <w:szCs w:val="24"/>
        </w:rPr>
        <w:t xml:space="preserve">passassem a refletir o valor contábil </w:t>
      </w:r>
      <w:r w:rsidRPr="003D27D6">
        <w:rPr>
          <w:rFonts w:ascii="Arial" w:hAnsi="Arial" w:cs="Arial"/>
          <w:sz w:val="24"/>
          <w:szCs w:val="24"/>
        </w:rPr>
        <w:t>conforme seu valor justo, e para isso, foi utilizado de pesquisa de mercado, considerando ainda a sua data de aquisição.</w:t>
      </w:r>
      <w:r>
        <w:rPr>
          <w:rFonts w:ascii="Arial" w:hAnsi="Arial" w:cs="Arial"/>
          <w:sz w:val="24"/>
          <w:szCs w:val="24"/>
        </w:rPr>
        <w:t xml:space="preserve"> </w:t>
      </w:r>
    </w:p>
    <w:p w:rsidR="00777BDF" w:rsidRDefault="00777BDF" w:rsidP="003A6484">
      <w:pPr>
        <w:spacing w:after="0" w:line="240" w:lineRule="auto"/>
        <w:jc w:val="both"/>
        <w:rPr>
          <w:rFonts w:ascii="Arial" w:hAnsi="Arial" w:cs="Arial"/>
          <w:bCs/>
          <w:sz w:val="24"/>
          <w:szCs w:val="24"/>
        </w:rPr>
      </w:pPr>
    </w:p>
    <w:p w:rsidR="00260164" w:rsidRPr="007314DF" w:rsidRDefault="009E120F" w:rsidP="007314DF">
      <w:pPr>
        <w:spacing w:line="240" w:lineRule="auto"/>
        <w:jc w:val="both"/>
        <w:rPr>
          <w:rFonts w:ascii="Arial" w:hAnsi="Arial" w:cs="Arial"/>
          <w:bCs/>
          <w:sz w:val="24"/>
          <w:szCs w:val="24"/>
        </w:rPr>
      </w:pPr>
      <w:r>
        <w:rPr>
          <w:rFonts w:ascii="Arial" w:hAnsi="Arial" w:cs="Arial"/>
          <w:bCs/>
          <w:sz w:val="24"/>
          <w:szCs w:val="24"/>
        </w:rPr>
        <w:t>O Fundo Municipal de Saúde</w:t>
      </w:r>
      <w:r w:rsidR="00D63B9F">
        <w:rPr>
          <w:rFonts w:ascii="Arial" w:hAnsi="Arial" w:cs="Arial"/>
          <w:bCs/>
          <w:sz w:val="24"/>
          <w:szCs w:val="24"/>
        </w:rPr>
        <w:t xml:space="preserve"> mantém controle e é normatizado a vida útil, valor residual, percentual de depreciação dos bens. O controle é realizado pelo servidor responsável e dirig</w:t>
      </w:r>
      <w:r w:rsidR="005D213D">
        <w:rPr>
          <w:rFonts w:ascii="Arial" w:hAnsi="Arial" w:cs="Arial"/>
          <w:bCs/>
          <w:sz w:val="24"/>
          <w:szCs w:val="24"/>
        </w:rPr>
        <w:t>ido pela comissão do patrimônio, do Município.</w:t>
      </w:r>
      <w:r w:rsidR="007314DF" w:rsidRPr="007314DF">
        <w:rPr>
          <w:rFonts w:ascii="Arial" w:hAnsi="Arial" w:cs="Arial"/>
          <w:bCs/>
          <w:sz w:val="24"/>
          <w:szCs w:val="24"/>
        </w:rPr>
        <w:t xml:space="preserve"> </w:t>
      </w:r>
    </w:p>
    <w:p w:rsidR="001A008C" w:rsidRDefault="00D63B9F" w:rsidP="001A008C">
      <w:pPr>
        <w:spacing w:after="0" w:line="240" w:lineRule="auto"/>
        <w:jc w:val="both"/>
        <w:rPr>
          <w:rFonts w:ascii="Arial" w:hAnsi="Arial" w:cs="Arial"/>
          <w:bCs/>
          <w:sz w:val="24"/>
          <w:szCs w:val="24"/>
        </w:rPr>
      </w:pPr>
      <w:r>
        <w:rPr>
          <w:rFonts w:ascii="Arial" w:hAnsi="Arial" w:cs="Arial"/>
          <w:bCs/>
          <w:sz w:val="24"/>
          <w:szCs w:val="24"/>
        </w:rPr>
        <w:t>As contas patrimoniais mantem coerência com as contas contábeis conforme plano de contas definido pelo TCE/SC.</w:t>
      </w:r>
    </w:p>
    <w:p w:rsidR="001A008C" w:rsidRDefault="001A008C" w:rsidP="001A008C">
      <w:pPr>
        <w:spacing w:after="0" w:line="240" w:lineRule="auto"/>
        <w:jc w:val="both"/>
        <w:rPr>
          <w:rFonts w:ascii="Arial" w:hAnsi="Arial" w:cs="Arial"/>
          <w:bCs/>
          <w:sz w:val="24"/>
          <w:szCs w:val="24"/>
        </w:rPr>
      </w:pPr>
    </w:p>
    <w:p w:rsidR="001A008C" w:rsidRPr="00B616E2" w:rsidRDefault="001A008C" w:rsidP="001A008C">
      <w:pPr>
        <w:spacing w:after="0" w:line="240" w:lineRule="auto"/>
        <w:jc w:val="both"/>
        <w:rPr>
          <w:rFonts w:ascii="Arial" w:hAnsi="Arial" w:cs="Arial"/>
          <w:bCs/>
          <w:sz w:val="24"/>
          <w:szCs w:val="24"/>
        </w:rPr>
      </w:pPr>
    </w:p>
    <w:p w:rsidR="008A3226" w:rsidRPr="00FC4903" w:rsidRDefault="00B616E2" w:rsidP="00FC4903">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FC4903">
        <w:rPr>
          <w:rFonts w:ascii="Arial" w:hAnsi="Arial" w:cs="Arial"/>
          <w:b/>
          <w:bCs/>
          <w:color w:val="215868" w:themeColor="accent5" w:themeShade="80"/>
          <w:sz w:val="24"/>
          <w:szCs w:val="24"/>
        </w:rPr>
        <w:t>Intangível</w:t>
      </w:r>
    </w:p>
    <w:p w:rsidR="00B616E2" w:rsidRPr="00B616E2" w:rsidRDefault="009E120F" w:rsidP="003A6484">
      <w:pPr>
        <w:spacing w:after="0" w:line="240" w:lineRule="auto"/>
        <w:rPr>
          <w:rFonts w:ascii="Arial" w:hAnsi="Arial" w:cs="Arial"/>
          <w:bCs/>
          <w:sz w:val="24"/>
          <w:szCs w:val="24"/>
        </w:rPr>
      </w:pPr>
      <w:r>
        <w:rPr>
          <w:rFonts w:ascii="Arial" w:hAnsi="Arial" w:cs="Arial"/>
          <w:bCs/>
          <w:sz w:val="24"/>
          <w:szCs w:val="24"/>
        </w:rPr>
        <w:t>O Fundo Municipal de Saúde</w:t>
      </w:r>
      <w:r w:rsidR="00B616E2" w:rsidRPr="00B616E2">
        <w:rPr>
          <w:rFonts w:ascii="Arial" w:hAnsi="Arial" w:cs="Arial"/>
          <w:bCs/>
          <w:sz w:val="24"/>
          <w:szCs w:val="24"/>
        </w:rPr>
        <w:t xml:space="preserve"> não possu</w:t>
      </w:r>
      <w:r w:rsidR="006D66DC">
        <w:rPr>
          <w:rFonts w:ascii="Arial" w:hAnsi="Arial" w:cs="Arial"/>
          <w:bCs/>
          <w:sz w:val="24"/>
          <w:szCs w:val="24"/>
        </w:rPr>
        <w:t>i</w:t>
      </w:r>
      <w:r w:rsidR="00B616E2" w:rsidRPr="00B616E2">
        <w:rPr>
          <w:rFonts w:ascii="Arial" w:hAnsi="Arial" w:cs="Arial"/>
          <w:bCs/>
          <w:sz w:val="24"/>
          <w:szCs w:val="24"/>
        </w:rPr>
        <w:t xml:space="preserve"> intangíveis em 31 de dezembro de 201</w:t>
      </w:r>
      <w:r w:rsidR="005A025A">
        <w:rPr>
          <w:rFonts w:ascii="Arial" w:hAnsi="Arial" w:cs="Arial"/>
          <w:bCs/>
          <w:sz w:val="24"/>
          <w:szCs w:val="24"/>
        </w:rPr>
        <w:t>9</w:t>
      </w:r>
      <w:r w:rsidR="00B616E2" w:rsidRPr="00B616E2">
        <w:rPr>
          <w:rFonts w:ascii="Arial" w:hAnsi="Arial" w:cs="Arial"/>
          <w:bCs/>
          <w:sz w:val="24"/>
          <w:szCs w:val="24"/>
        </w:rPr>
        <w:t>.</w:t>
      </w:r>
    </w:p>
    <w:p w:rsidR="00B616E2" w:rsidRDefault="00B616E2" w:rsidP="003A6484">
      <w:pPr>
        <w:spacing w:after="0" w:line="240" w:lineRule="auto"/>
        <w:rPr>
          <w:rFonts w:ascii="Arial" w:hAnsi="Arial" w:cs="Arial"/>
          <w:bCs/>
          <w:color w:val="215868" w:themeColor="accent5" w:themeShade="80"/>
          <w:sz w:val="24"/>
          <w:szCs w:val="24"/>
        </w:rPr>
      </w:pPr>
    </w:p>
    <w:p w:rsidR="001A008C" w:rsidRDefault="001A008C" w:rsidP="003A6484">
      <w:pPr>
        <w:spacing w:after="0" w:line="240" w:lineRule="auto"/>
        <w:rPr>
          <w:rFonts w:ascii="Arial" w:hAnsi="Arial" w:cs="Arial"/>
          <w:bCs/>
          <w:color w:val="215868" w:themeColor="accent5" w:themeShade="80"/>
          <w:sz w:val="24"/>
          <w:szCs w:val="24"/>
        </w:rPr>
      </w:pPr>
    </w:p>
    <w:p w:rsidR="008A3226" w:rsidRPr="00FC4903" w:rsidRDefault="00D63B9F" w:rsidP="00FC4903">
      <w:pPr>
        <w:pStyle w:val="PargrafodaLista"/>
        <w:numPr>
          <w:ilvl w:val="0"/>
          <w:numId w:val="25"/>
        </w:numPr>
        <w:spacing w:after="0" w:line="240" w:lineRule="auto"/>
        <w:ind w:left="426"/>
        <w:rPr>
          <w:rFonts w:ascii="Arial" w:hAnsi="Arial" w:cs="Arial"/>
          <w:b/>
          <w:bCs/>
          <w:color w:val="215868" w:themeColor="accent5" w:themeShade="80"/>
          <w:sz w:val="24"/>
          <w:szCs w:val="24"/>
        </w:rPr>
      </w:pPr>
      <w:r w:rsidRPr="00FC4903">
        <w:rPr>
          <w:rFonts w:ascii="Arial" w:hAnsi="Arial" w:cs="Arial"/>
          <w:b/>
          <w:bCs/>
          <w:color w:val="215868" w:themeColor="accent5" w:themeShade="80"/>
          <w:sz w:val="24"/>
          <w:szCs w:val="24"/>
        </w:rPr>
        <w:t>Fornecedores</w:t>
      </w:r>
    </w:p>
    <w:p w:rsidR="003A75D4" w:rsidRDefault="00D63B9F" w:rsidP="001A008C">
      <w:pPr>
        <w:spacing w:after="0" w:line="240" w:lineRule="auto"/>
        <w:jc w:val="both"/>
        <w:rPr>
          <w:rFonts w:ascii="Arial" w:hAnsi="Arial" w:cs="Arial"/>
          <w:bCs/>
          <w:sz w:val="24"/>
          <w:szCs w:val="24"/>
        </w:rPr>
      </w:pPr>
      <w:r w:rsidRPr="00D63B9F">
        <w:rPr>
          <w:rFonts w:ascii="Arial" w:hAnsi="Arial" w:cs="Arial"/>
          <w:bCs/>
          <w:sz w:val="24"/>
          <w:szCs w:val="24"/>
        </w:rPr>
        <w:t xml:space="preserve">Na conta </w:t>
      </w:r>
      <w:r>
        <w:rPr>
          <w:rFonts w:ascii="Arial" w:hAnsi="Arial" w:cs="Arial"/>
          <w:bCs/>
          <w:sz w:val="24"/>
          <w:szCs w:val="24"/>
        </w:rPr>
        <w:t>“</w:t>
      </w:r>
      <w:r w:rsidRPr="00D63B9F">
        <w:rPr>
          <w:rFonts w:ascii="Arial" w:hAnsi="Arial" w:cs="Arial"/>
          <w:bCs/>
          <w:sz w:val="24"/>
          <w:szCs w:val="24"/>
        </w:rPr>
        <w:t>fornecedores</w:t>
      </w:r>
      <w:r>
        <w:rPr>
          <w:rFonts w:ascii="Arial" w:hAnsi="Arial" w:cs="Arial"/>
          <w:bCs/>
          <w:sz w:val="24"/>
          <w:szCs w:val="24"/>
        </w:rPr>
        <w:t>”</w:t>
      </w:r>
      <w:r w:rsidRPr="00D63B9F">
        <w:rPr>
          <w:rFonts w:ascii="Arial" w:hAnsi="Arial" w:cs="Arial"/>
          <w:bCs/>
          <w:sz w:val="24"/>
          <w:szCs w:val="24"/>
        </w:rPr>
        <w:t xml:space="preserve"> são registrados por meio de controle pelo mecanismo de contas correntes, todos os fornecedores e aquisições e contratações realizadas. A conta </w:t>
      </w:r>
      <w:r>
        <w:rPr>
          <w:rFonts w:ascii="Arial" w:hAnsi="Arial" w:cs="Arial"/>
          <w:bCs/>
          <w:sz w:val="24"/>
          <w:szCs w:val="24"/>
        </w:rPr>
        <w:t>“</w:t>
      </w:r>
      <w:r w:rsidRPr="00D63B9F">
        <w:rPr>
          <w:rFonts w:ascii="Arial" w:hAnsi="Arial" w:cs="Arial"/>
          <w:bCs/>
          <w:sz w:val="24"/>
          <w:szCs w:val="24"/>
        </w:rPr>
        <w:t>fornecedores</w:t>
      </w:r>
      <w:r>
        <w:rPr>
          <w:rFonts w:ascii="Arial" w:hAnsi="Arial" w:cs="Arial"/>
          <w:bCs/>
          <w:sz w:val="24"/>
          <w:szCs w:val="24"/>
        </w:rPr>
        <w:t>”</w:t>
      </w:r>
      <w:r w:rsidRPr="00D63B9F">
        <w:rPr>
          <w:rFonts w:ascii="Arial" w:hAnsi="Arial" w:cs="Arial"/>
          <w:bCs/>
          <w:sz w:val="24"/>
          <w:szCs w:val="24"/>
        </w:rPr>
        <w:t xml:space="preserve"> é</w:t>
      </w:r>
      <w:r>
        <w:rPr>
          <w:rFonts w:ascii="Arial" w:hAnsi="Arial" w:cs="Arial"/>
          <w:bCs/>
          <w:sz w:val="24"/>
          <w:szCs w:val="24"/>
        </w:rPr>
        <w:t xml:space="preserve"> uma</w:t>
      </w:r>
      <w:r w:rsidRPr="00D63B9F">
        <w:rPr>
          <w:rFonts w:ascii="Arial" w:hAnsi="Arial" w:cs="Arial"/>
          <w:bCs/>
          <w:sz w:val="24"/>
          <w:szCs w:val="24"/>
        </w:rPr>
        <w:t xml:space="preserve"> conta contábil do passivo e registra as </w:t>
      </w:r>
      <w:r>
        <w:rPr>
          <w:rFonts w:ascii="Arial" w:hAnsi="Arial" w:cs="Arial"/>
          <w:bCs/>
          <w:sz w:val="24"/>
          <w:szCs w:val="24"/>
        </w:rPr>
        <w:t>obrigações d</w:t>
      </w:r>
      <w:r w:rsidR="005D213D">
        <w:rPr>
          <w:rFonts w:ascii="Arial" w:hAnsi="Arial" w:cs="Arial"/>
          <w:bCs/>
          <w:sz w:val="24"/>
          <w:szCs w:val="24"/>
        </w:rPr>
        <w:t>o</w:t>
      </w:r>
      <w:r w:rsidR="009E120F">
        <w:rPr>
          <w:rFonts w:ascii="Arial" w:hAnsi="Arial" w:cs="Arial"/>
          <w:bCs/>
          <w:sz w:val="24"/>
          <w:szCs w:val="24"/>
        </w:rPr>
        <w:t xml:space="preserve"> </w:t>
      </w:r>
      <w:r w:rsidR="009E120F">
        <w:rPr>
          <w:rFonts w:ascii="Arial" w:hAnsi="Arial" w:cs="Arial"/>
          <w:bCs/>
          <w:sz w:val="24"/>
          <w:szCs w:val="24"/>
        </w:rPr>
        <w:lastRenderedPageBreak/>
        <w:t>Fundo Municipal de Saúde</w:t>
      </w:r>
      <w:r>
        <w:rPr>
          <w:rFonts w:ascii="Arial" w:hAnsi="Arial" w:cs="Arial"/>
          <w:bCs/>
          <w:sz w:val="24"/>
          <w:szCs w:val="24"/>
        </w:rPr>
        <w:t xml:space="preserve"> para com esses. Algumas obrigações que não passaram por todos os estágios da despesa são transferid</w:t>
      </w:r>
      <w:r w:rsidR="003877AE">
        <w:rPr>
          <w:rFonts w:ascii="Arial" w:hAnsi="Arial" w:cs="Arial"/>
          <w:bCs/>
          <w:sz w:val="24"/>
          <w:szCs w:val="24"/>
        </w:rPr>
        <w:t>a</w:t>
      </w:r>
      <w:r>
        <w:rPr>
          <w:rFonts w:ascii="Arial" w:hAnsi="Arial" w:cs="Arial"/>
          <w:bCs/>
          <w:sz w:val="24"/>
          <w:szCs w:val="24"/>
        </w:rPr>
        <w:t>s/inscrit</w:t>
      </w:r>
      <w:r w:rsidR="003877AE">
        <w:rPr>
          <w:rFonts w:ascii="Arial" w:hAnsi="Arial" w:cs="Arial"/>
          <w:bCs/>
          <w:sz w:val="24"/>
          <w:szCs w:val="24"/>
        </w:rPr>
        <w:t>a</w:t>
      </w:r>
      <w:r>
        <w:rPr>
          <w:rFonts w:ascii="Arial" w:hAnsi="Arial" w:cs="Arial"/>
          <w:bCs/>
          <w:sz w:val="24"/>
          <w:szCs w:val="24"/>
        </w:rPr>
        <w:t>s em restos a pagar e/ou fornecedores de exercícios anteriores.</w:t>
      </w:r>
      <w:r w:rsidR="003A75D4">
        <w:rPr>
          <w:rFonts w:ascii="Arial" w:hAnsi="Arial" w:cs="Arial"/>
          <w:bCs/>
          <w:sz w:val="24"/>
          <w:szCs w:val="24"/>
        </w:rPr>
        <w:t xml:space="preserve"> </w:t>
      </w:r>
    </w:p>
    <w:p w:rsidR="003A75D4" w:rsidRDefault="003A75D4" w:rsidP="001A008C">
      <w:pPr>
        <w:spacing w:after="0" w:line="240" w:lineRule="auto"/>
        <w:jc w:val="both"/>
        <w:rPr>
          <w:rFonts w:ascii="Arial" w:hAnsi="Arial" w:cs="Arial"/>
          <w:bCs/>
          <w:sz w:val="24"/>
          <w:szCs w:val="24"/>
        </w:rPr>
      </w:pPr>
    </w:p>
    <w:p w:rsidR="00D508EF" w:rsidRPr="003A75D4" w:rsidRDefault="000805E5" w:rsidP="001A008C">
      <w:pPr>
        <w:spacing w:after="0" w:line="240" w:lineRule="auto"/>
        <w:jc w:val="both"/>
        <w:rPr>
          <w:rFonts w:ascii="Arial" w:hAnsi="Arial" w:cs="Arial"/>
          <w:bCs/>
          <w:sz w:val="24"/>
          <w:szCs w:val="24"/>
        </w:rPr>
      </w:pPr>
      <w:r w:rsidRPr="003A75D4">
        <w:rPr>
          <w:rFonts w:ascii="Arial" w:hAnsi="Arial" w:cs="Arial"/>
          <w:bCs/>
          <w:sz w:val="24"/>
          <w:szCs w:val="24"/>
        </w:rPr>
        <w:t>Em 31 de dezembro de 201</w:t>
      </w:r>
      <w:r w:rsidR="00A172FE">
        <w:rPr>
          <w:rFonts w:ascii="Arial" w:hAnsi="Arial" w:cs="Arial"/>
          <w:bCs/>
          <w:sz w:val="24"/>
          <w:szCs w:val="24"/>
        </w:rPr>
        <w:t>9</w:t>
      </w:r>
      <w:r w:rsidRPr="003A75D4">
        <w:rPr>
          <w:rFonts w:ascii="Arial" w:hAnsi="Arial" w:cs="Arial"/>
          <w:bCs/>
          <w:sz w:val="24"/>
          <w:szCs w:val="24"/>
        </w:rPr>
        <w:t>, o</w:t>
      </w:r>
      <w:r w:rsidR="003A75D4" w:rsidRPr="003A75D4">
        <w:rPr>
          <w:rFonts w:ascii="Arial" w:hAnsi="Arial" w:cs="Arial"/>
          <w:bCs/>
          <w:sz w:val="24"/>
          <w:szCs w:val="24"/>
        </w:rPr>
        <w:t xml:space="preserve"> saldo da conta fornecedores é</w:t>
      </w:r>
      <w:r w:rsidRPr="003A75D4">
        <w:rPr>
          <w:rFonts w:ascii="Arial" w:hAnsi="Arial" w:cs="Arial"/>
          <w:bCs/>
          <w:sz w:val="24"/>
          <w:szCs w:val="24"/>
        </w:rPr>
        <w:t xml:space="preserve"> de R$ </w:t>
      </w:r>
      <w:r w:rsidR="009A2580">
        <w:rPr>
          <w:rFonts w:ascii="Arial" w:hAnsi="Arial" w:cs="Arial"/>
          <w:bCs/>
          <w:sz w:val="24"/>
          <w:szCs w:val="24"/>
        </w:rPr>
        <w:t>1.</w:t>
      </w:r>
      <w:r w:rsidR="00A172FE">
        <w:rPr>
          <w:rFonts w:ascii="Arial" w:hAnsi="Arial" w:cs="Arial"/>
          <w:bCs/>
          <w:sz w:val="24"/>
          <w:szCs w:val="24"/>
        </w:rPr>
        <w:t>276,03</w:t>
      </w:r>
      <w:r w:rsidR="009327F0">
        <w:rPr>
          <w:rFonts w:ascii="Arial" w:hAnsi="Arial" w:cs="Arial"/>
          <w:bCs/>
          <w:sz w:val="24"/>
          <w:szCs w:val="24"/>
        </w:rPr>
        <w:t>.</w:t>
      </w:r>
    </w:p>
    <w:p w:rsidR="001A008C" w:rsidRDefault="001A008C" w:rsidP="001A008C">
      <w:pPr>
        <w:spacing w:after="0" w:line="240" w:lineRule="auto"/>
        <w:jc w:val="both"/>
        <w:rPr>
          <w:rFonts w:ascii="Arial" w:hAnsi="Arial" w:cs="Arial"/>
          <w:bCs/>
          <w:sz w:val="24"/>
          <w:szCs w:val="24"/>
        </w:rPr>
      </w:pPr>
    </w:p>
    <w:p w:rsidR="001A008C" w:rsidRDefault="001A008C" w:rsidP="001A008C">
      <w:pPr>
        <w:spacing w:after="0" w:line="240" w:lineRule="auto"/>
        <w:jc w:val="both"/>
        <w:rPr>
          <w:rFonts w:ascii="Arial" w:hAnsi="Arial" w:cs="Arial"/>
          <w:b/>
          <w:bCs/>
          <w:color w:val="215868" w:themeColor="accent5" w:themeShade="80"/>
          <w:sz w:val="24"/>
          <w:szCs w:val="24"/>
        </w:rPr>
      </w:pPr>
    </w:p>
    <w:p w:rsidR="008A3226" w:rsidRPr="003877AE" w:rsidRDefault="00FC4903"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13 </w:t>
      </w:r>
      <w:r w:rsidR="008A3226" w:rsidRPr="003877AE">
        <w:rPr>
          <w:rFonts w:ascii="Arial" w:hAnsi="Arial" w:cs="Arial"/>
          <w:b/>
          <w:bCs/>
          <w:color w:val="215868" w:themeColor="accent5" w:themeShade="80"/>
          <w:sz w:val="24"/>
          <w:szCs w:val="24"/>
        </w:rPr>
        <w:t>Obrigações Trabalhistas, Previdenciárias e Assistenciais</w:t>
      </w:r>
      <w:r w:rsidR="003877AE" w:rsidRPr="003877AE">
        <w:rPr>
          <w:rFonts w:ascii="Arial" w:hAnsi="Arial" w:cs="Arial"/>
          <w:b/>
          <w:bCs/>
          <w:color w:val="215868" w:themeColor="accent5" w:themeShade="80"/>
          <w:sz w:val="24"/>
          <w:szCs w:val="24"/>
        </w:rPr>
        <w:t xml:space="preserve"> a Curto Prazo e a Longo Prazo</w:t>
      </w:r>
    </w:p>
    <w:p w:rsidR="003877AE" w:rsidRPr="003A75D4" w:rsidRDefault="006D66DC" w:rsidP="009F47DF">
      <w:pPr>
        <w:spacing w:after="0" w:line="240" w:lineRule="auto"/>
        <w:jc w:val="both"/>
        <w:rPr>
          <w:rFonts w:ascii="Arial" w:hAnsi="Arial" w:cs="Arial"/>
          <w:bCs/>
          <w:sz w:val="24"/>
          <w:szCs w:val="24"/>
        </w:rPr>
      </w:pPr>
      <w:r w:rsidRPr="006D66DC">
        <w:rPr>
          <w:rFonts w:ascii="Arial" w:hAnsi="Arial" w:cs="Arial"/>
          <w:bCs/>
          <w:sz w:val="24"/>
          <w:szCs w:val="24"/>
        </w:rPr>
        <w:t>As Obrigações Trabalhistas, Previdenciárias e Assistenciais a Curto Prazo</w:t>
      </w:r>
      <w:r>
        <w:rPr>
          <w:rFonts w:ascii="Arial" w:hAnsi="Arial" w:cs="Arial"/>
          <w:bCs/>
          <w:sz w:val="24"/>
          <w:szCs w:val="24"/>
        </w:rPr>
        <w:t>,</w:t>
      </w:r>
      <w:r w:rsidRPr="006D66DC">
        <w:rPr>
          <w:rFonts w:ascii="Arial" w:hAnsi="Arial" w:cs="Arial"/>
          <w:bCs/>
          <w:sz w:val="24"/>
          <w:szCs w:val="24"/>
        </w:rPr>
        <w:t xml:space="preserve"> d</w:t>
      </w:r>
      <w:r w:rsidR="005D213D">
        <w:rPr>
          <w:rFonts w:ascii="Arial" w:hAnsi="Arial" w:cs="Arial"/>
          <w:bCs/>
          <w:sz w:val="24"/>
          <w:szCs w:val="24"/>
        </w:rPr>
        <w:t>o</w:t>
      </w:r>
      <w:r w:rsidR="00490B26">
        <w:rPr>
          <w:rFonts w:ascii="Arial" w:hAnsi="Arial" w:cs="Arial"/>
          <w:bCs/>
          <w:sz w:val="24"/>
          <w:szCs w:val="24"/>
        </w:rPr>
        <w:t xml:space="preserve"> </w:t>
      </w:r>
      <w:r w:rsidR="009E120F">
        <w:rPr>
          <w:rFonts w:ascii="Arial" w:hAnsi="Arial" w:cs="Arial"/>
          <w:bCs/>
          <w:sz w:val="24"/>
          <w:szCs w:val="24"/>
        </w:rPr>
        <w:t xml:space="preserve">Fundo Municipal de </w:t>
      </w:r>
      <w:r w:rsidR="009E120F" w:rsidRPr="003A75D4">
        <w:rPr>
          <w:rFonts w:ascii="Arial" w:hAnsi="Arial" w:cs="Arial"/>
          <w:bCs/>
          <w:sz w:val="24"/>
          <w:szCs w:val="24"/>
        </w:rPr>
        <w:t>Saúde</w:t>
      </w:r>
      <w:r w:rsidRPr="003A75D4">
        <w:rPr>
          <w:rFonts w:ascii="Arial" w:hAnsi="Arial" w:cs="Arial"/>
          <w:bCs/>
          <w:sz w:val="24"/>
          <w:szCs w:val="24"/>
        </w:rPr>
        <w:t xml:space="preserve">, somou </w:t>
      </w:r>
      <w:r w:rsidR="00EF0CDA">
        <w:rPr>
          <w:rFonts w:ascii="Arial" w:hAnsi="Arial" w:cs="Arial"/>
          <w:bCs/>
          <w:sz w:val="24"/>
          <w:szCs w:val="24"/>
        </w:rPr>
        <w:t>em 31 de dezembro de 201</w:t>
      </w:r>
      <w:r w:rsidR="00A172FE">
        <w:rPr>
          <w:rFonts w:ascii="Arial" w:hAnsi="Arial" w:cs="Arial"/>
          <w:bCs/>
          <w:sz w:val="24"/>
          <w:szCs w:val="24"/>
        </w:rPr>
        <w:t>9</w:t>
      </w:r>
      <w:r w:rsidR="00EF0CDA">
        <w:rPr>
          <w:rFonts w:ascii="Arial" w:hAnsi="Arial" w:cs="Arial"/>
          <w:bCs/>
          <w:sz w:val="24"/>
          <w:szCs w:val="24"/>
        </w:rPr>
        <w:t xml:space="preserve">, </w:t>
      </w:r>
      <w:r w:rsidRPr="003A75D4">
        <w:rPr>
          <w:rFonts w:ascii="Arial" w:hAnsi="Arial" w:cs="Arial"/>
          <w:bCs/>
          <w:sz w:val="24"/>
          <w:szCs w:val="24"/>
        </w:rPr>
        <w:t>R$</w:t>
      </w:r>
      <w:r w:rsidR="003A75D4" w:rsidRPr="003A75D4">
        <w:rPr>
          <w:rFonts w:ascii="Arial" w:hAnsi="Arial" w:cs="Arial"/>
          <w:bCs/>
          <w:sz w:val="24"/>
          <w:szCs w:val="24"/>
        </w:rPr>
        <w:t xml:space="preserve"> </w:t>
      </w:r>
      <w:r w:rsidR="009A2580">
        <w:rPr>
          <w:rFonts w:ascii="Arial" w:hAnsi="Arial" w:cs="Arial"/>
          <w:bCs/>
          <w:sz w:val="24"/>
          <w:szCs w:val="24"/>
        </w:rPr>
        <w:t>2</w:t>
      </w:r>
      <w:r w:rsidR="00952B4E">
        <w:rPr>
          <w:rFonts w:ascii="Arial" w:hAnsi="Arial" w:cs="Arial"/>
          <w:bCs/>
          <w:sz w:val="24"/>
          <w:szCs w:val="24"/>
        </w:rPr>
        <w:t xml:space="preserve">98.365,12 </w:t>
      </w:r>
      <w:r w:rsidR="009A2580">
        <w:rPr>
          <w:rFonts w:ascii="Arial" w:hAnsi="Arial" w:cs="Arial"/>
          <w:bCs/>
          <w:sz w:val="24"/>
          <w:szCs w:val="24"/>
        </w:rPr>
        <w:t>referente</w:t>
      </w:r>
      <w:r w:rsidRPr="003A75D4">
        <w:rPr>
          <w:rFonts w:ascii="Arial" w:hAnsi="Arial" w:cs="Arial"/>
          <w:bCs/>
          <w:sz w:val="24"/>
          <w:szCs w:val="24"/>
        </w:rPr>
        <w:t xml:space="preserve"> férias reconhecidas por competência. O reconhecimento de despesas por competência, é exigência das NBCASP, e necessária para a correta demonstração do patrimônio d</w:t>
      </w:r>
      <w:r w:rsidR="005D213D" w:rsidRPr="003A75D4">
        <w:rPr>
          <w:rFonts w:ascii="Arial" w:hAnsi="Arial" w:cs="Arial"/>
          <w:bCs/>
          <w:sz w:val="24"/>
          <w:szCs w:val="24"/>
        </w:rPr>
        <w:t>o</w:t>
      </w:r>
      <w:r w:rsidR="009E120F" w:rsidRPr="003A75D4">
        <w:rPr>
          <w:rFonts w:ascii="Arial" w:hAnsi="Arial" w:cs="Arial"/>
          <w:bCs/>
          <w:sz w:val="24"/>
          <w:szCs w:val="24"/>
        </w:rPr>
        <w:t xml:space="preserve"> Fundo Municipal de Saúde</w:t>
      </w:r>
      <w:r w:rsidRPr="003A75D4">
        <w:rPr>
          <w:rFonts w:ascii="Arial" w:hAnsi="Arial" w:cs="Arial"/>
          <w:bCs/>
          <w:sz w:val="24"/>
          <w:szCs w:val="24"/>
        </w:rPr>
        <w:t>.</w:t>
      </w:r>
    </w:p>
    <w:p w:rsidR="005D213D" w:rsidRPr="006D66DC" w:rsidRDefault="005D213D" w:rsidP="009F47DF">
      <w:pPr>
        <w:spacing w:after="0" w:line="240" w:lineRule="auto"/>
        <w:jc w:val="both"/>
        <w:rPr>
          <w:rFonts w:ascii="Arial" w:hAnsi="Arial" w:cs="Arial"/>
          <w:bCs/>
          <w:sz w:val="24"/>
          <w:szCs w:val="24"/>
        </w:rPr>
      </w:pPr>
    </w:p>
    <w:p w:rsidR="00D508EF" w:rsidRDefault="003A75D4" w:rsidP="003A75D4">
      <w:pPr>
        <w:spacing w:after="0" w:line="240" w:lineRule="auto"/>
        <w:jc w:val="both"/>
        <w:rPr>
          <w:rFonts w:ascii="Arial" w:hAnsi="Arial" w:cs="Arial"/>
          <w:b/>
          <w:bCs/>
          <w:color w:val="215868" w:themeColor="accent5" w:themeShade="80"/>
          <w:sz w:val="24"/>
          <w:szCs w:val="24"/>
        </w:rPr>
      </w:pPr>
      <w:r>
        <w:rPr>
          <w:rFonts w:ascii="Arial" w:hAnsi="Arial" w:cs="Arial"/>
          <w:bCs/>
          <w:sz w:val="24"/>
          <w:szCs w:val="24"/>
        </w:rPr>
        <w:t xml:space="preserve">O Fundo Municipal de Saúde não possui </w:t>
      </w:r>
      <w:r w:rsidR="006D66DC" w:rsidRPr="006D66DC">
        <w:rPr>
          <w:rFonts w:ascii="Arial" w:hAnsi="Arial" w:cs="Arial"/>
          <w:bCs/>
          <w:sz w:val="24"/>
          <w:szCs w:val="24"/>
        </w:rPr>
        <w:t xml:space="preserve">Obrigações Trabalhistas, Previdenciárias e Assistenciais a </w:t>
      </w:r>
      <w:r w:rsidR="006D66DC">
        <w:rPr>
          <w:rFonts w:ascii="Arial" w:hAnsi="Arial" w:cs="Arial"/>
          <w:bCs/>
          <w:sz w:val="24"/>
          <w:szCs w:val="24"/>
        </w:rPr>
        <w:t xml:space="preserve">Longo </w:t>
      </w:r>
      <w:r w:rsidR="006D66DC" w:rsidRPr="006D66DC">
        <w:rPr>
          <w:rFonts w:ascii="Arial" w:hAnsi="Arial" w:cs="Arial"/>
          <w:bCs/>
          <w:sz w:val="24"/>
          <w:szCs w:val="24"/>
        </w:rPr>
        <w:t>Prazo</w:t>
      </w:r>
      <w:r>
        <w:rPr>
          <w:rFonts w:ascii="Arial" w:hAnsi="Arial" w:cs="Arial"/>
          <w:bCs/>
          <w:sz w:val="24"/>
          <w:szCs w:val="24"/>
        </w:rPr>
        <w:t>.</w:t>
      </w:r>
    </w:p>
    <w:p w:rsidR="001A008C" w:rsidRDefault="001A008C" w:rsidP="001A008C">
      <w:pPr>
        <w:spacing w:after="0" w:line="240" w:lineRule="auto"/>
        <w:rPr>
          <w:rFonts w:ascii="Arial" w:hAnsi="Arial" w:cs="Arial"/>
          <w:b/>
          <w:bCs/>
          <w:color w:val="215868" w:themeColor="accent5" w:themeShade="80"/>
          <w:sz w:val="24"/>
          <w:szCs w:val="24"/>
        </w:rPr>
      </w:pPr>
    </w:p>
    <w:p w:rsidR="003A75D4" w:rsidRDefault="003A75D4" w:rsidP="001A008C">
      <w:pPr>
        <w:spacing w:after="0" w:line="240" w:lineRule="auto"/>
        <w:rPr>
          <w:rFonts w:ascii="Arial" w:hAnsi="Arial" w:cs="Arial"/>
          <w:b/>
          <w:bCs/>
          <w:color w:val="215868" w:themeColor="accent5" w:themeShade="80"/>
          <w:sz w:val="24"/>
          <w:szCs w:val="24"/>
        </w:rPr>
      </w:pPr>
    </w:p>
    <w:p w:rsidR="008A3226" w:rsidRPr="003877AE" w:rsidRDefault="00FC4903" w:rsidP="003A6484">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14 </w:t>
      </w:r>
      <w:r w:rsidR="008A3226" w:rsidRPr="003877AE">
        <w:rPr>
          <w:rFonts w:ascii="Arial" w:hAnsi="Arial" w:cs="Arial"/>
          <w:b/>
          <w:bCs/>
          <w:color w:val="215868" w:themeColor="accent5" w:themeShade="80"/>
          <w:sz w:val="24"/>
          <w:szCs w:val="24"/>
        </w:rPr>
        <w:t>Provisõe</w:t>
      </w:r>
      <w:r w:rsidR="003877AE" w:rsidRPr="003877AE">
        <w:rPr>
          <w:rFonts w:ascii="Arial" w:hAnsi="Arial" w:cs="Arial"/>
          <w:b/>
          <w:bCs/>
          <w:color w:val="215868" w:themeColor="accent5" w:themeShade="80"/>
          <w:sz w:val="24"/>
          <w:szCs w:val="24"/>
        </w:rPr>
        <w:t>s a Curto Prazo e a Longo Prazo</w:t>
      </w:r>
    </w:p>
    <w:p w:rsidR="006D66DC" w:rsidRDefault="009E120F" w:rsidP="005D213D">
      <w:pPr>
        <w:spacing w:after="0" w:line="240" w:lineRule="auto"/>
        <w:jc w:val="both"/>
        <w:rPr>
          <w:rFonts w:ascii="Arial" w:hAnsi="Arial" w:cs="Arial"/>
          <w:bCs/>
          <w:sz w:val="24"/>
          <w:szCs w:val="24"/>
        </w:rPr>
      </w:pPr>
      <w:r>
        <w:rPr>
          <w:rFonts w:ascii="Arial" w:hAnsi="Arial" w:cs="Arial"/>
          <w:bCs/>
          <w:sz w:val="24"/>
          <w:szCs w:val="24"/>
        </w:rPr>
        <w:t>O Fundo Municipal de Saúde</w:t>
      </w:r>
      <w:r w:rsidR="006D66DC" w:rsidRPr="00B616E2">
        <w:rPr>
          <w:rFonts w:ascii="Arial" w:hAnsi="Arial" w:cs="Arial"/>
          <w:bCs/>
          <w:sz w:val="24"/>
          <w:szCs w:val="24"/>
        </w:rPr>
        <w:t xml:space="preserve"> não possu</w:t>
      </w:r>
      <w:r w:rsidR="006D66DC">
        <w:rPr>
          <w:rFonts w:ascii="Arial" w:hAnsi="Arial" w:cs="Arial"/>
          <w:bCs/>
          <w:sz w:val="24"/>
          <w:szCs w:val="24"/>
        </w:rPr>
        <w:t>i</w:t>
      </w:r>
      <w:r w:rsidR="006D66DC" w:rsidRPr="00B616E2">
        <w:rPr>
          <w:rFonts w:ascii="Arial" w:hAnsi="Arial" w:cs="Arial"/>
          <w:bCs/>
          <w:sz w:val="24"/>
          <w:szCs w:val="24"/>
        </w:rPr>
        <w:t xml:space="preserve"> </w:t>
      </w:r>
      <w:r w:rsidR="006D66DC">
        <w:rPr>
          <w:rFonts w:ascii="Arial" w:hAnsi="Arial" w:cs="Arial"/>
          <w:bCs/>
          <w:sz w:val="24"/>
          <w:szCs w:val="24"/>
        </w:rPr>
        <w:t xml:space="preserve">provisões </w:t>
      </w:r>
      <w:r w:rsidR="00EF0CDA">
        <w:rPr>
          <w:rFonts w:ascii="Arial" w:hAnsi="Arial" w:cs="Arial"/>
          <w:bCs/>
          <w:sz w:val="24"/>
          <w:szCs w:val="24"/>
        </w:rPr>
        <w:t>a curto e longo prazo.</w:t>
      </w:r>
    </w:p>
    <w:p w:rsidR="001A008C" w:rsidRDefault="001A008C" w:rsidP="001A008C">
      <w:pPr>
        <w:spacing w:after="0" w:line="240" w:lineRule="auto"/>
        <w:rPr>
          <w:rFonts w:ascii="Arial" w:hAnsi="Arial" w:cs="Arial"/>
          <w:b/>
          <w:bCs/>
          <w:color w:val="215868" w:themeColor="accent5" w:themeShade="80"/>
          <w:sz w:val="24"/>
          <w:szCs w:val="24"/>
        </w:rPr>
      </w:pPr>
    </w:p>
    <w:p w:rsidR="005D213D" w:rsidRDefault="005D213D" w:rsidP="001A008C">
      <w:pPr>
        <w:spacing w:after="0" w:line="240" w:lineRule="auto"/>
        <w:rPr>
          <w:rFonts w:ascii="Arial" w:hAnsi="Arial" w:cs="Arial"/>
          <w:b/>
          <w:bCs/>
          <w:color w:val="215868" w:themeColor="accent5" w:themeShade="80"/>
          <w:sz w:val="24"/>
          <w:szCs w:val="24"/>
        </w:rPr>
      </w:pPr>
    </w:p>
    <w:p w:rsidR="008A3226" w:rsidRPr="00236464" w:rsidRDefault="00FC4903" w:rsidP="001A008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15</w:t>
      </w:r>
      <w:r w:rsidR="008A3226" w:rsidRPr="00236464">
        <w:rPr>
          <w:rFonts w:ascii="Arial" w:hAnsi="Arial" w:cs="Arial"/>
          <w:b/>
          <w:bCs/>
          <w:color w:val="215868" w:themeColor="accent5" w:themeShade="80"/>
          <w:sz w:val="24"/>
          <w:szCs w:val="24"/>
        </w:rPr>
        <w:t xml:space="preserve"> Demais elementos patrimoniais, quando relevantes.</w:t>
      </w:r>
    </w:p>
    <w:p w:rsidR="005B61C8" w:rsidRPr="003877AE" w:rsidRDefault="005B61C8" w:rsidP="0025265B">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Patrimônio Líquido</w:t>
      </w:r>
    </w:p>
    <w:p w:rsidR="005B61C8" w:rsidRDefault="005B61C8" w:rsidP="0025265B">
      <w:pPr>
        <w:spacing w:line="240" w:lineRule="auto"/>
        <w:jc w:val="both"/>
        <w:rPr>
          <w:rFonts w:ascii="Arial" w:hAnsi="Arial" w:cs="Arial"/>
          <w:bCs/>
          <w:sz w:val="24"/>
          <w:szCs w:val="24"/>
        </w:rPr>
      </w:pPr>
      <w:r w:rsidRPr="005B61C8">
        <w:rPr>
          <w:rFonts w:ascii="Arial" w:hAnsi="Arial" w:cs="Arial"/>
          <w:bCs/>
          <w:sz w:val="24"/>
          <w:szCs w:val="24"/>
        </w:rPr>
        <w:t xml:space="preserve">O patrimônio líquido acumulado representa o </w:t>
      </w:r>
      <w:r w:rsidRPr="00A54405">
        <w:rPr>
          <w:rFonts w:ascii="Arial" w:hAnsi="Arial" w:cs="Arial"/>
          <w:bCs/>
          <w:sz w:val="24"/>
          <w:szCs w:val="24"/>
        </w:rPr>
        <w:t>valor de R$</w:t>
      </w:r>
      <w:r w:rsidR="009327F0">
        <w:rPr>
          <w:rFonts w:ascii="Arial" w:hAnsi="Arial" w:cs="Arial"/>
          <w:bCs/>
          <w:sz w:val="24"/>
          <w:szCs w:val="24"/>
        </w:rPr>
        <w:t xml:space="preserve"> 3.002.391,94</w:t>
      </w:r>
      <w:r w:rsidR="00A54405" w:rsidRPr="00A54405">
        <w:rPr>
          <w:rFonts w:ascii="Arial" w:hAnsi="Arial" w:cs="Arial"/>
          <w:bCs/>
          <w:sz w:val="24"/>
          <w:szCs w:val="24"/>
        </w:rPr>
        <w:t>,</w:t>
      </w:r>
      <w:r w:rsidR="00D11051" w:rsidRPr="00A54405">
        <w:rPr>
          <w:rFonts w:ascii="Arial" w:hAnsi="Arial" w:cs="Arial"/>
          <w:bCs/>
          <w:sz w:val="24"/>
          <w:szCs w:val="24"/>
        </w:rPr>
        <w:t xml:space="preserve"> </w:t>
      </w:r>
      <w:r w:rsidRPr="00A54405">
        <w:rPr>
          <w:rFonts w:ascii="Arial" w:hAnsi="Arial" w:cs="Arial"/>
          <w:bCs/>
          <w:sz w:val="24"/>
          <w:szCs w:val="24"/>
        </w:rPr>
        <w:t xml:space="preserve">e refere-se aos resultados acumulados desde a criação </w:t>
      </w:r>
      <w:r w:rsidR="00D11051" w:rsidRPr="00A54405">
        <w:rPr>
          <w:rFonts w:ascii="Arial" w:hAnsi="Arial" w:cs="Arial"/>
          <w:bCs/>
          <w:sz w:val="24"/>
          <w:szCs w:val="24"/>
        </w:rPr>
        <w:t xml:space="preserve">do </w:t>
      </w:r>
      <w:r w:rsidR="003A75D4" w:rsidRPr="00A54405">
        <w:rPr>
          <w:rFonts w:ascii="Arial" w:hAnsi="Arial" w:cs="Arial"/>
          <w:bCs/>
          <w:sz w:val="24"/>
          <w:szCs w:val="24"/>
        </w:rPr>
        <w:t>Fundo</w:t>
      </w:r>
      <w:r w:rsidRPr="00A54405">
        <w:rPr>
          <w:rFonts w:ascii="Arial" w:hAnsi="Arial" w:cs="Arial"/>
          <w:bCs/>
          <w:sz w:val="24"/>
          <w:szCs w:val="24"/>
        </w:rPr>
        <w:t xml:space="preserve">. O patrimônio líquido recebe valores no encerramento do exercício referente variações patrimoniais aumentativas e diminutivas e as transferências financeiras concedidas e recebidas, envolvendo </w:t>
      </w:r>
      <w:r>
        <w:rPr>
          <w:rFonts w:ascii="Arial" w:hAnsi="Arial" w:cs="Arial"/>
          <w:bCs/>
          <w:sz w:val="24"/>
          <w:szCs w:val="24"/>
        </w:rPr>
        <w:t xml:space="preserve">operações no nível de consolidação, INTER OFSS União, INTER OFSS Estado e INTER OFSS </w:t>
      </w:r>
      <w:r w:rsidR="00D11051">
        <w:rPr>
          <w:rFonts w:ascii="Arial" w:hAnsi="Arial" w:cs="Arial"/>
          <w:bCs/>
          <w:sz w:val="24"/>
          <w:szCs w:val="24"/>
        </w:rPr>
        <w:t>Municípios</w:t>
      </w:r>
      <w:r>
        <w:rPr>
          <w:rFonts w:ascii="Arial" w:hAnsi="Arial" w:cs="Arial"/>
          <w:bCs/>
          <w:sz w:val="24"/>
          <w:szCs w:val="24"/>
        </w:rPr>
        <w:t>.</w:t>
      </w:r>
    </w:p>
    <w:p w:rsidR="005B61C8" w:rsidRDefault="005A63BA" w:rsidP="005A63BA">
      <w:pPr>
        <w:spacing w:line="240" w:lineRule="auto"/>
        <w:jc w:val="both"/>
        <w:rPr>
          <w:rFonts w:ascii="Arial" w:hAnsi="Arial" w:cs="Arial"/>
          <w:bCs/>
          <w:sz w:val="24"/>
          <w:szCs w:val="24"/>
        </w:rPr>
      </w:pPr>
      <w:r>
        <w:rPr>
          <w:rFonts w:ascii="Arial" w:hAnsi="Arial" w:cs="Arial"/>
          <w:bCs/>
          <w:sz w:val="24"/>
          <w:szCs w:val="24"/>
        </w:rPr>
        <w:t>No grupo do patrimônio líquido, a conta A</w:t>
      </w:r>
      <w:r w:rsidR="003A75D4">
        <w:rPr>
          <w:rFonts w:ascii="Arial" w:hAnsi="Arial" w:cs="Arial"/>
          <w:bCs/>
          <w:sz w:val="24"/>
          <w:szCs w:val="24"/>
        </w:rPr>
        <w:t>justes de Exercício Anteriores pode ser</w:t>
      </w:r>
      <w:r>
        <w:rPr>
          <w:rFonts w:ascii="Arial" w:hAnsi="Arial" w:cs="Arial"/>
          <w:bCs/>
          <w:sz w:val="24"/>
          <w:szCs w:val="24"/>
        </w:rPr>
        <w:t xml:space="preserve"> utilizada </w:t>
      </w:r>
      <w:r w:rsidRPr="005A63BA">
        <w:rPr>
          <w:rFonts w:ascii="Arial" w:hAnsi="Arial" w:cs="Arial"/>
          <w:bCs/>
          <w:sz w:val="24"/>
          <w:szCs w:val="24"/>
        </w:rPr>
        <w:t>apenas os decorrentes de efeitos da mudança de critério contábil, ou da retificação de erro imputável a determinado exercício anterior, e que não possam ser atribuídos a fatos subsequentes.</w:t>
      </w:r>
    </w:p>
    <w:p w:rsidR="00B56B08" w:rsidRPr="003A75D4" w:rsidRDefault="00DA5BAB" w:rsidP="00B56B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00B56B08" w:rsidRPr="003A75D4">
        <w:rPr>
          <w:rFonts w:ascii="Arial" w:hAnsi="Arial" w:cs="Arial"/>
          <w:sz w:val="24"/>
          <w:szCs w:val="24"/>
        </w:rPr>
        <w:t xml:space="preserve">ouveram ajustes de exercícios anteriores na Entidade </w:t>
      </w:r>
      <w:r w:rsidR="009E120F" w:rsidRPr="003A75D4">
        <w:rPr>
          <w:rFonts w:ascii="Arial" w:hAnsi="Arial" w:cs="Arial"/>
          <w:sz w:val="24"/>
          <w:szCs w:val="24"/>
        </w:rPr>
        <w:t>Fundo Municipal de Saúde</w:t>
      </w:r>
      <w:r>
        <w:rPr>
          <w:rFonts w:ascii="Arial" w:hAnsi="Arial" w:cs="Arial"/>
          <w:sz w:val="24"/>
          <w:szCs w:val="24"/>
        </w:rPr>
        <w:t>, no ano de 2019</w:t>
      </w:r>
      <w:r w:rsidR="009327F0">
        <w:rPr>
          <w:rFonts w:ascii="Arial" w:hAnsi="Arial" w:cs="Arial"/>
          <w:sz w:val="24"/>
          <w:szCs w:val="24"/>
        </w:rPr>
        <w:t>,</w:t>
      </w:r>
      <w:r w:rsidR="00D31A4C">
        <w:rPr>
          <w:rFonts w:ascii="Arial" w:hAnsi="Arial" w:cs="Arial"/>
          <w:sz w:val="24"/>
          <w:szCs w:val="24"/>
        </w:rPr>
        <w:t xml:space="preserve"> no valor de R$ 474.883,72</w:t>
      </w:r>
      <w:r w:rsidR="009327F0">
        <w:rPr>
          <w:rFonts w:ascii="Arial" w:hAnsi="Arial" w:cs="Arial"/>
          <w:sz w:val="24"/>
          <w:szCs w:val="24"/>
        </w:rPr>
        <w:t>,</w:t>
      </w:r>
      <w:r w:rsidR="00D31A4C">
        <w:rPr>
          <w:rFonts w:ascii="Arial" w:hAnsi="Arial" w:cs="Arial"/>
          <w:sz w:val="24"/>
          <w:szCs w:val="24"/>
        </w:rPr>
        <w:t xml:space="preserve"> devido </w:t>
      </w:r>
      <w:r w:rsidR="009327F0">
        <w:rPr>
          <w:rFonts w:ascii="Arial" w:hAnsi="Arial" w:cs="Arial"/>
          <w:sz w:val="24"/>
          <w:szCs w:val="24"/>
        </w:rPr>
        <w:t>ajustes necessários, com base na atualização física a contábil do patrimônio, realizada em 2019.</w:t>
      </w:r>
    </w:p>
    <w:p w:rsidR="00467EE2" w:rsidRDefault="00467EE2" w:rsidP="00467EE2">
      <w:pPr>
        <w:spacing w:after="0" w:line="240" w:lineRule="auto"/>
        <w:jc w:val="both"/>
        <w:rPr>
          <w:rFonts w:ascii="Arial" w:hAnsi="Arial" w:cs="Arial"/>
          <w:bCs/>
          <w:color w:val="FF0000"/>
          <w:sz w:val="24"/>
          <w:szCs w:val="24"/>
        </w:rPr>
      </w:pPr>
    </w:p>
    <w:p w:rsidR="00147996" w:rsidRDefault="00147996" w:rsidP="00467EE2">
      <w:pPr>
        <w:spacing w:after="0" w:line="240" w:lineRule="auto"/>
        <w:jc w:val="both"/>
        <w:rPr>
          <w:rFonts w:ascii="Arial" w:hAnsi="Arial" w:cs="Arial"/>
          <w:bCs/>
          <w:color w:val="FF0000"/>
          <w:sz w:val="24"/>
          <w:szCs w:val="24"/>
        </w:rPr>
      </w:pPr>
    </w:p>
    <w:p w:rsidR="008A3226" w:rsidRPr="0093664A" w:rsidRDefault="005A63BA" w:rsidP="00147996">
      <w:pPr>
        <w:spacing w:after="0" w:line="240" w:lineRule="auto"/>
        <w:jc w:val="both"/>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NOTAS EXPLICATIVAS À DEMONSTRAÇÃO DAS VARIAÇÕES PATRIMONIAIS</w:t>
      </w:r>
    </w:p>
    <w:p w:rsidR="005A63BA" w:rsidRDefault="005A63BA" w:rsidP="00147996">
      <w:pPr>
        <w:spacing w:after="0" w:line="240" w:lineRule="auto"/>
        <w:rPr>
          <w:rFonts w:ascii="Arial" w:hAnsi="Arial" w:cs="Arial"/>
          <w:b/>
          <w:bCs/>
          <w:color w:val="215868" w:themeColor="accent5" w:themeShade="80"/>
          <w:sz w:val="24"/>
          <w:szCs w:val="24"/>
        </w:rPr>
      </w:pPr>
    </w:p>
    <w:p w:rsidR="00147996" w:rsidRDefault="00147996" w:rsidP="00147996">
      <w:pPr>
        <w:spacing w:after="0" w:line="240" w:lineRule="auto"/>
        <w:rPr>
          <w:rFonts w:ascii="Arial" w:hAnsi="Arial" w:cs="Arial"/>
          <w:b/>
          <w:bCs/>
          <w:color w:val="215868" w:themeColor="accent5" w:themeShade="80"/>
          <w:sz w:val="24"/>
          <w:szCs w:val="24"/>
        </w:rPr>
      </w:pPr>
    </w:p>
    <w:p w:rsidR="008A3226" w:rsidRDefault="00FC4903" w:rsidP="00467EE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lastRenderedPageBreak/>
        <w:t xml:space="preserve">16 </w:t>
      </w:r>
      <w:r w:rsidR="008A3226" w:rsidRPr="005A63BA">
        <w:rPr>
          <w:rFonts w:ascii="Arial" w:hAnsi="Arial" w:cs="Arial"/>
          <w:b/>
          <w:bCs/>
          <w:color w:val="215868" w:themeColor="accent5" w:themeShade="80"/>
          <w:sz w:val="24"/>
          <w:szCs w:val="24"/>
        </w:rPr>
        <w:t>Redução ao valor recuperável no ativo imobilizado</w:t>
      </w:r>
    </w:p>
    <w:p w:rsidR="00467EE2" w:rsidRDefault="00BD13AF" w:rsidP="00FC054E">
      <w:pPr>
        <w:spacing w:after="0" w:line="240" w:lineRule="auto"/>
        <w:rPr>
          <w:rFonts w:ascii="Arial" w:hAnsi="Arial" w:cs="Arial"/>
          <w:bCs/>
          <w:sz w:val="24"/>
          <w:szCs w:val="24"/>
        </w:rPr>
      </w:pPr>
      <w:r w:rsidRPr="00BD13AF">
        <w:rPr>
          <w:rFonts w:ascii="Arial" w:hAnsi="Arial" w:cs="Arial"/>
          <w:bCs/>
          <w:sz w:val="24"/>
          <w:szCs w:val="24"/>
        </w:rPr>
        <w:t>Não houve redução ao valor recuperável no ativo imobilizado, no exercício de 201</w:t>
      </w:r>
      <w:r w:rsidR="007B30E3">
        <w:rPr>
          <w:rFonts w:ascii="Arial" w:hAnsi="Arial" w:cs="Arial"/>
          <w:bCs/>
          <w:sz w:val="24"/>
          <w:szCs w:val="24"/>
        </w:rPr>
        <w:t>9</w:t>
      </w:r>
      <w:r w:rsidRPr="00BD13AF">
        <w:rPr>
          <w:rFonts w:ascii="Arial" w:hAnsi="Arial" w:cs="Arial"/>
          <w:bCs/>
          <w:sz w:val="24"/>
          <w:szCs w:val="24"/>
        </w:rPr>
        <w:t>.</w:t>
      </w:r>
    </w:p>
    <w:p w:rsidR="00FC054E" w:rsidRDefault="00FC054E" w:rsidP="00FC054E">
      <w:pPr>
        <w:spacing w:after="0" w:line="240" w:lineRule="auto"/>
        <w:rPr>
          <w:rFonts w:ascii="Arial" w:hAnsi="Arial" w:cs="Arial"/>
          <w:b/>
          <w:bCs/>
          <w:color w:val="215868" w:themeColor="accent5" w:themeShade="80"/>
          <w:sz w:val="24"/>
          <w:szCs w:val="24"/>
        </w:rPr>
      </w:pPr>
    </w:p>
    <w:p w:rsidR="00FC054E" w:rsidRDefault="00FC054E" w:rsidP="00FC054E">
      <w:pPr>
        <w:spacing w:after="0" w:line="240" w:lineRule="auto"/>
        <w:rPr>
          <w:rFonts w:ascii="Arial" w:hAnsi="Arial" w:cs="Arial"/>
          <w:b/>
          <w:bCs/>
          <w:color w:val="215868" w:themeColor="accent5" w:themeShade="80"/>
          <w:sz w:val="24"/>
          <w:szCs w:val="24"/>
        </w:rPr>
      </w:pPr>
    </w:p>
    <w:p w:rsidR="008A3226" w:rsidRDefault="00FC4903" w:rsidP="00FC054E">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17</w:t>
      </w:r>
      <w:r w:rsidR="008A3226" w:rsidRPr="005A63BA">
        <w:rPr>
          <w:rFonts w:ascii="Arial" w:hAnsi="Arial" w:cs="Arial"/>
          <w:b/>
          <w:bCs/>
          <w:color w:val="215868" w:themeColor="accent5" w:themeShade="80"/>
          <w:sz w:val="24"/>
          <w:szCs w:val="24"/>
        </w:rPr>
        <w:t xml:space="preserve"> Baixas de investimento</w:t>
      </w:r>
    </w:p>
    <w:p w:rsidR="00D508EF" w:rsidRDefault="00BD13AF" w:rsidP="00FC054E">
      <w:pPr>
        <w:spacing w:after="0" w:line="240" w:lineRule="auto"/>
        <w:rPr>
          <w:rFonts w:ascii="Arial" w:hAnsi="Arial" w:cs="Arial"/>
          <w:bCs/>
          <w:sz w:val="24"/>
          <w:szCs w:val="24"/>
        </w:rPr>
      </w:pPr>
      <w:r w:rsidRPr="00BD13AF">
        <w:rPr>
          <w:rFonts w:ascii="Arial" w:hAnsi="Arial" w:cs="Arial"/>
          <w:bCs/>
          <w:sz w:val="24"/>
          <w:szCs w:val="24"/>
        </w:rPr>
        <w:t xml:space="preserve">Não houve </w:t>
      </w:r>
      <w:r>
        <w:rPr>
          <w:rFonts w:ascii="Arial" w:hAnsi="Arial" w:cs="Arial"/>
          <w:bCs/>
          <w:sz w:val="24"/>
          <w:szCs w:val="24"/>
        </w:rPr>
        <w:t>baixa de investimentos</w:t>
      </w:r>
      <w:r w:rsidRPr="00BD13AF">
        <w:rPr>
          <w:rFonts w:ascii="Arial" w:hAnsi="Arial" w:cs="Arial"/>
          <w:bCs/>
          <w:sz w:val="24"/>
          <w:szCs w:val="24"/>
        </w:rPr>
        <w:t>, no exercício de 201</w:t>
      </w:r>
      <w:r w:rsidR="007B30E3">
        <w:rPr>
          <w:rFonts w:ascii="Arial" w:hAnsi="Arial" w:cs="Arial"/>
          <w:bCs/>
          <w:sz w:val="24"/>
          <w:szCs w:val="24"/>
        </w:rPr>
        <w:t>9</w:t>
      </w:r>
      <w:r w:rsidRPr="00BD13AF">
        <w:rPr>
          <w:rFonts w:ascii="Arial" w:hAnsi="Arial" w:cs="Arial"/>
          <w:bCs/>
          <w:sz w:val="24"/>
          <w:szCs w:val="24"/>
        </w:rPr>
        <w:t>.</w:t>
      </w:r>
    </w:p>
    <w:p w:rsidR="00467EE2" w:rsidRDefault="00467EE2" w:rsidP="00FC054E">
      <w:pPr>
        <w:spacing w:after="0" w:line="240" w:lineRule="auto"/>
        <w:rPr>
          <w:rFonts w:ascii="Arial" w:hAnsi="Arial" w:cs="Arial"/>
          <w:bCs/>
          <w:sz w:val="24"/>
          <w:szCs w:val="24"/>
        </w:rPr>
      </w:pPr>
    </w:p>
    <w:p w:rsidR="00467EE2" w:rsidRDefault="00467EE2" w:rsidP="00FC054E">
      <w:pPr>
        <w:spacing w:after="0" w:line="240" w:lineRule="auto"/>
        <w:rPr>
          <w:rFonts w:ascii="Arial" w:hAnsi="Arial" w:cs="Arial"/>
          <w:b/>
          <w:bCs/>
          <w:color w:val="215868" w:themeColor="accent5" w:themeShade="80"/>
          <w:sz w:val="24"/>
          <w:szCs w:val="24"/>
        </w:rPr>
      </w:pPr>
    </w:p>
    <w:p w:rsidR="008A3226" w:rsidRPr="005A63BA" w:rsidRDefault="003F250A" w:rsidP="003A6484">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18</w:t>
      </w:r>
      <w:r w:rsidR="008A3226" w:rsidRPr="005A63BA">
        <w:rPr>
          <w:rFonts w:ascii="Arial" w:hAnsi="Arial" w:cs="Arial"/>
          <w:b/>
          <w:bCs/>
          <w:color w:val="215868" w:themeColor="accent5" w:themeShade="80"/>
          <w:sz w:val="24"/>
          <w:szCs w:val="24"/>
        </w:rPr>
        <w:t xml:space="preserve"> Constituição ou reversão de provisões.</w:t>
      </w:r>
    </w:p>
    <w:p w:rsidR="00BD13AF" w:rsidRDefault="00BD13AF" w:rsidP="00C25E55">
      <w:pPr>
        <w:spacing w:after="0" w:line="240" w:lineRule="auto"/>
        <w:jc w:val="both"/>
        <w:rPr>
          <w:rFonts w:ascii="Arial" w:hAnsi="Arial" w:cs="Arial"/>
          <w:bCs/>
          <w:sz w:val="24"/>
          <w:szCs w:val="24"/>
        </w:rPr>
      </w:pPr>
      <w:r w:rsidRPr="00BD13AF">
        <w:rPr>
          <w:rFonts w:ascii="Arial" w:hAnsi="Arial" w:cs="Arial"/>
          <w:bCs/>
          <w:sz w:val="24"/>
          <w:szCs w:val="24"/>
        </w:rPr>
        <w:t xml:space="preserve">Não houve </w:t>
      </w:r>
      <w:r w:rsidR="005D213D">
        <w:rPr>
          <w:rFonts w:ascii="Arial" w:hAnsi="Arial" w:cs="Arial"/>
          <w:bCs/>
          <w:sz w:val="24"/>
          <w:szCs w:val="24"/>
        </w:rPr>
        <w:t xml:space="preserve">constituição ou </w:t>
      </w:r>
      <w:r w:rsidRPr="00BD13AF">
        <w:rPr>
          <w:rFonts w:ascii="Arial" w:hAnsi="Arial" w:cs="Arial"/>
          <w:bCs/>
          <w:sz w:val="24"/>
          <w:szCs w:val="24"/>
        </w:rPr>
        <w:t>reversão de provisões em 201</w:t>
      </w:r>
      <w:r w:rsidR="007B30E3">
        <w:rPr>
          <w:rFonts w:ascii="Arial" w:hAnsi="Arial" w:cs="Arial"/>
          <w:bCs/>
          <w:sz w:val="24"/>
          <w:szCs w:val="24"/>
        </w:rPr>
        <w:t>9</w:t>
      </w:r>
      <w:r w:rsidRPr="00BD13AF">
        <w:rPr>
          <w:rFonts w:ascii="Arial" w:hAnsi="Arial" w:cs="Arial"/>
          <w:bCs/>
          <w:sz w:val="24"/>
          <w:szCs w:val="24"/>
        </w:rPr>
        <w:t>.</w:t>
      </w:r>
    </w:p>
    <w:p w:rsidR="00147996" w:rsidRDefault="00147996" w:rsidP="00C25E55">
      <w:pPr>
        <w:spacing w:after="0" w:line="240" w:lineRule="auto"/>
        <w:jc w:val="both"/>
        <w:rPr>
          <w:rFonts w:ascii="Arial" w:hAnsi="Arial" w:cs="Arial"/>
          <w:bCs/>
          <w:sz w:val="24"/>
          <w:szCs w:val="24"/>
        </w:rPr>
      </w:pPr>
    </w:p>
    <w:p w:rsidR="00E27DA6" w:rsidRDefault="00E27DA6" w:rsidP="00FC054E">
      <w:pPr>
        <w:spacing w:after="0" w:line="240" w:lineRule="auto"/>
        <w:rPr>
          <w:rFonts w:ascii="Arial" w:hAnsi="Arial" w:cs="Arial"/>
          <w:bCs/>
          <w:sz w:val="24"/>
          <w:szCs w:val="24"/>
        </w:rPr>
      </w:pPr>
    </w:p>
    <w:p w:rsidR="00BD13AF" w:rsidRPr="00236464" w:rsidRDefault="003F250A" w:rsidP="00FC054E">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19</w:t>
      </w:r>
      <w:r w:rsidR="00BD13AF" w:rsidRPr="00236464">
        <w:rPr>
          <w:rFonts w:ascii="Arial" w:hAnsi="Arial" w:cs="Arial"/>
          <w:b/>
          <w:bCs/>
          <w:color w:val="215868" w:themeColor="accent5" w:themeShade="80"/>
          <w:sz w:val="24"/>
          <w:szCs w:val="24"/>
        </w:rPr>
        <w:t xml:space="preserve"> Demais </w:t>
      </w:r>
      <w:r w:rsidR="00BD13AF">
        <w:rPr>
          <w:rFonts w:ascii="Arial" w:hAnsi="Arial" w:cs="Arial"/>
          <w:b/>
          <w:bCs/>
          <w:color w:val="215868" w:themeColor="accent5" w:themeShade="80"/>
          <w:sz w:val="24"/>
          <w:szCs w:val="24"/>
        </w:rPr>
        <w:t>variações</w:t>
      </w:r>
    </w:p>
    <w:p w:rsidR="00FC054E" w:rsidRDefault="00FC054E" w:rsidP="003A6484">
      <w:pPr>
        <w:spacing w:after="0" w:line="240" w:lineRule="auto"/>
        <w:rPr>
          <w:rFonts w:ascii="Arial" w:hAnsi="Arial" w:cs="Arial"/>
          <w:b/>
          <w:bCs/>
          <w:color w:val="215868" w:themeColor="accent5" w:themeShade="80"/>
          <w:sz w:val="24"/>
          <w:szCs w:val="24"/>
        </w:rPr>
      </w:pPr>
    </w:p>
    <w:p w:rsidR="00FC054E" w:rsidRDefault="00FC054E" w:rsidP="003A6484">
      <w:pPr>
        <w:spacing w:after="0" w:line="240" w:lineRule="auto"/>
        <w:rPr>
          <w:rFonts w:ascii="Arial" w:hAnsi="Arial" w:cs="Arial"/>
          <w:b/>
          <w:bCs/>
          <w:color w:val="215868" w:themeColor="accent5" w:themeShade="80"/>
          <w:sz w:val="24"/>
          <w:szCs w:val="24"/>
        </w:rPr>
      </w:pPr>
    </w:p>
    <w:p w:rsidR="00060291" w:rsidRPr="00060291" w:rsidRDefault="00060291" w:rsidP="003A6484">
      <w:pPr>
        <w:spacing w:after="0" w:line="240" w:lineRule="auto"/>
        <w:rPr>
          <w:rFonts w:ascii="Arial" w:hAnsi="Arial" w:cs="Arial"/>
          <w:b/>
          <w:bCs/>
          <w:color w:val="215868" w:themeColor="accent5" w:themeShade="80"/>
          <w:sz w:val="24"/>
          <w:szCs w:val="24"/>
        </w:rPr>
      </w:pPr>
      <w:r w:rsidRPr="00060291">
        <w:rPr>
          <w:rFonts w:ascii="Arial" w:hAnsi="Arial" w:cs="Arial"/>
          <w:b/>
          <w:bCs/>
          <w:color w:val="215868" w:themeColor="accent5" w:themeShade="80"/>
          <w:sz w:val="24"/>
          <w:szCs w:val="24"/>
        </w:rPr>
        <w:t>Variações Aumentativas</w:t>
      </w:r>
    </w:p>
    <w:p w:rsidR="00EF0CDA" w:rsidRPr="00116D9A" w:rsidRDefault="00EF0CDA" w:rsidP="00EF0CDA">
      <w:pPr>
        <w:spacing w:after="0" w:line="240" w:lineRule="auto"/>
        <w:jc w:val="both"/>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Impostos, Taxas e Contribuição de Melhoria</w:t>
      </w:r>
    </w:p>
    <w:p w:rsidR="00EF0CDA" w:rsidRPr="00116D9A" w:rsidRDefault="00EF0CDA" w:rsidP="00EF0CDA">
      <w:pPr>
        <w:spacing w:after="0" w:line="240" w:lineRule="auto"/>
        <w:jc w:val="both"/>
        <w:rPr>
          <w:rFonts w:ascii="Arial" w:hAnsi="Arial" w:cs="Arial"/>
          <w:bCs/>
          <w:sz w:val="24"/>
          <w:szCs w:val="24"/>
        </w:rPr>
      </w:pPr>
      <w:r w:rsidRPr="00116D9A">
        <w:rPr>
          <w:rFonts w:ascii="Arial" w:hAnsi="Arial" w:cs="Arial"/>
          <w:bCs/>
          <w:sz w:val="24"/>
          <w:szCs w:val="24"/>
        </w:rPr>
        <w:t>Representam a variação aumentativa do patrimônio pela arrecadação de impostos, taxas ou contribuição de melhoria, e pelo reconhecimento de créditos a receber destes.</w:t>
      </w:r>
    </w:p>
    <w:p w:rsidR="00EF0CDA" w:rsidRDefault="00EF0CDA" w:rsidP="00FC054E">
      <w:pPr>
        <w:spacing w:after="0" w:line="240" w:lineRule="auto"/>
        <w:rPr>
          <w:rFonts w:ascii="Arial" w:hAnsi="Arial" w:cs="Arial"/>
          <w:bCs/>
          <w:color w:val="215868" w:themeColor="accent5" w:themeShade="80"/>
          <w:sz w:val="24"/>
          <w:szCs w:val="24"/>
        </w:rPr>
      </w:pPr>
    </w:p>
    <w:p w:rsidR="00BD13AF" w:rsidRPr="006278CD" w:rsidRDefault="006278CD" w:rsidP="00FC054E">
      <w:pPr>
        <w:spacing w:after="0" w:line="240" w:lineRule="auto"/>
        <w:rPr>
          <w:rFonts w:ascii="Arial" w:hAnsi="Arial" w:cs="Arial"/>
          <w:bCs/>
          <w:color w:val="215868" w:themeColor="accent5" w:themeShade="80"/>
          <w:sz w:val="24"/>
          <w:szCs w:val="24"/>
        </w:rPr>
      </w:pPr>
      <w:r w:rsidRPr="006278CD">
        <w:rPr>
          <w:rFonts w:ascii="Arial" w:hAnsi="Arial" w:cs="Arial"/>
          <w:bCs/>
          <w:color w:val="215868" w:themeColor="accent5" w:themeShade="80"/>
          <w:sz w:val="24"/>
          <w:szCs w:val="24"/>
        </w:rPr>
        <w:t>Variações Patrimoniais Aumentativas Financeiras</w:t>
      </w:r>
    </w:p>
    <w:p w:rsidR="006278CD" w:rsidRPr="006278CD" w:rsidRDefault="006278CD" w:rsidP="00FC054E">
      <w:pPr>
        <w:spacing w:after="0" w:line="240" w:lineRule="auto"/>
        <w:jc w:val="both"/>
        <w:rPr>
          <w:rFonts w:ascii="Arial" w:hAnsi="Arial" w:cs="Arial"/>
          <w:bCs/>
          <w:sz w:val="24"/>
          <w:szCs w:val="24"/>
        </w:rPr>
      </w:pPr>
      <w:r w:rsidRPr="006278CD">
        <w:rPr>
          <w:rFonts w:ascii="Arial" w:hAnsi="Arial" w:cs="Arial"/>
          <w:bCs/>
          <w:sz w:val="24"/>
          <w:szCs w:val="24"/>
        </w:rPr>
        <w:t>Representam as entradas relativas a juros arrecadados, bem como os rendimentos de depósitos bancários de recursos públicos aplicados em Instituições financeiras.</w:t>
      </w:r>
    </w:p>
    <w:p w:rsidR="00467EE2" w:rsidRDefault="00467EE2" w:rsidP="00FC054E">
      <w:pPr>
        <w:spacing w:after="0" w:line="240" w:lineRule="auto"/>
        <w:rPr>
          <w:rFonts w:ascii="Arial" w:hAnsi="Arial" w:cs="Arial"/>
          <w:bCs/>
          <w:color w:val="215868" w:themeColor="accent5" w:themeShade="80"/>
          <w:sz w:val="24"/>
          <w:szCs w:val="24"/>
        </w:rPr>
      </w:pPr>
    </w:p>
    <w:p w:rsidR="006278CD" w:rsidRPr="006278CD" w:rsidRDefault="006278CD" w:rsidP="00FC054E">
      <w:pPr>
        <w:spacing w:after="0" w:line="240" w:lineRule="auto"/>
        <w:rPr>
          <w:rFonts w:ascii="Arial" w:hAnsi="Arial" w:cs="Arial"/>
          <w:bCs/>
          <w:color w:val="215868" w:themeColor="accent5" w:themeShade="80"/>
          <w:sz w:val="24"/>
          <w:szCs w:val="24"/>
        </w:rPr>
      </w:pPr>
      <w:r w:rsidRPr="006278CD">
        <w:rPr>
          <w:rFonts w:ascii="Arial" w:hAnsi="Arial" w:cs="Arial"/>
          <w:bCs/>
          <w:color w:val="215868" w:themeColor="accent5" w:themeShade="80"/>
          <w:sz w:val="24"/>
          <w:szCs w:val="24"/>
        </w:rPr>
        <w:t>Transferências e delegações recebidas</w:t>
      </w:r>
    </w:p>
    <w:p w:rsidR="006278CD" w:rsidRPr="006278CD" w:rsidRDefault="006278CD" w:rsidP="00FC054E">
      <w:pPr>
        <w:spacing w:after="0" w:line="240" w:lineRule="auto"/>
        <w:jc w:val="both"/>
        <w:rPr>
          <w:rFonts w:ascii="Arial" w:hAnsi="Arial" w:cs="Arial"/>
          <w:bCs/>
          <w:sz w:val="24"/>
          <w:szCs w:val="24"/>
        </w:rPr>
      </w:pPr>
      <w:r w:rsidRPr="006278CD">
        <w:rPr>
          <w:rFonts w:ascii="Arial" w:hAnsi="Arial" w:cs="Arial"/>
          <w:bCs/>
          <w:sz w:val="24"/>
          <w:szCs w:val="24"/>
        </w:rPr>
        <w:t>Podem ser</w:t>
      </w:r>
      <w:r w:rsidR="00D11051">
        <w:rPr>
          <w:rFonts w:ascii="Arial" w:hAnsi="Arial" w:cs="Arial"/>
          <w:bCs/>
          <w:sz w:val="24"/>
          <w:szCs w:val="24"/>
        </w:rPr>
        <w:t xml:space="preserve"> consolidação, </w:t>
      </w:r>
      <w:proofErr w:type="spellStart"/>
      <w:r w:rsidRPr="006278CD">
        <w:rPr>
          <w:rFonts w:ascii="Arial" w:hAnsi="Arial" w:cs="Arial"/>
          <w:bCs/>
          <w:sz w:val="24"/>
          <w:szCs w:val="24"/>
        </w:rPr>
        <w:t>intra</w:t>
      </w:r>
      <w:proofErr w:type="spellEnd"/>
      <w:r w:rsidRPr="006278CD">
        <w:rPr>
          <w:rFonts w:ascii="Arial" w:hAnsi="Arial" w:cs="Arial"/>
          <w:bCs/>
          <w:sz w:val="24"/>
          <w:szCs w:val="24"/>
        </w:rPr>
        <w:t xml:space="preserve"> ou </w:t>
      </w:r>
      <w:proofErr w:type="spellStart"/>
      <w:r w:rsidRPr="006278CD">
        <w:rPr>
          <w:rFonts w:ascii="Arial" w:hAnsi="Arial" w:cs="Arial"/>
          <w:bCs/>
          <w:sz w:val="24"/>
          <w:szCs w:val="24"/>
        </w:rPr>
        <w:t>inter</w:t>
      </w:r>
      <w:proofErr w:type="spellEnd"/>
      <w:r w:rsidRPr="006278CD">
        <w:rPr>
          <w:rFonts w:ascii="Arial" w:hAnsi="Arial" w:cs="Arial"/>
          <w:bCs/>
          <w:sz w:val="24"/>
          <w:szCs w:val="24"/>
        </w:rPr>
        <w:t xml:space="preserve"> orçamentárias. São as transferências recebidas </w:t>
      </w:r>
      <w:r w:rsidR="00E41A21">
        <w:rPr>
          <w:rFonts w:ascii="Arial" w:hAnsi="Arial" w:cs="Arial"/>
          <w:bCs/>
          <w:sz w:val="24"/>
          <w:szCs w:val="24"/>
        </w:rPr>
        <w:t>no exercício, podem ser legais ou voluntárias.</w:t>
      </w:r>
    </w:p>
    <w:p w:rsidR="00D508EF" w:rsidRDefault="00D508EF" w:rsidP="00FC054E">
      <w:pPr>
        <w:spacing w:after="0" w:line="240" w:lineRule="auto"/>
        <w:rPr>
          <w:rFonts w:ascii="Arial" w:hAnsi="Arial" w:cs="Arial"/>
          <w:bCs/>
          <w:color w:val="215868" w:themeColor="accent5" w:themeShade="80"/>
          <w:sz w:val="24"/>
          <w:szCs w:val="24"/>
        </w:rPr>
      </w:pPr>
    </w:p>
    <w:p w:rsidR="009327F0" w:rsidRPr="00116D9A" w:rsidRDefault="009327F0" w:rsidP="009327F0">
      <w:pPr>
        <w:spacing w:after="0" w:line="240" w:lineRule="auto"/>
        <w:rPr>
          <w:rFonts w:ascii="Arial" w:hAnsi="Arial" w:cs="Arial"/>
          <w:bCs/>
          <w:color w:val="215868" w:themeColor="accent5" w:themeShade="80"/>
          <w:sz w:val="24"/>
          <w:szCs w:val="24"/>
        </w:rPr>
      </w:pPr>
      <w:r w:rsidRPr="00116D9A">
        <w:rPr>
          <w:rFonts w:ascii="Arial" w:hAnsi="Arial" w:cs="Arial"/>
          <w:bCs/>
          <w:color w:val="215868" w:themeColor="accent5" w:themeShade="80"/>
          <w:sz w:val="24"/>
          <w:szCs w:val="24"/>
        </w:rPr>
        <w:t>Valorização e Ganhos com ativos e desincorporação de passivos</w:t>
      </w:r>
    </w:p>
    <w:p w:rsidR="009327F0" w:rsidRPr="009327F0" w:rsidRDefault="009327F0" w:rsidP="009327F0">
      <w:pPr>
        <w:spacing w:after="0" w:line="240" w:lineRule="auto"/>
        <w:jc w:val="both"/>
        <w:rPr>
          <w:rFonts w:ascii="Arial" w:hAnsi="Arial" w:cs="Arial"/>
          <w:bCs/>
          <w:sz w:val="24"/>
          <w:szCs w:val="24"/>
        </w:rPr>
      </w:pPr>
      <w:r w:rsidRPr="009327F0">
        <w:rPr>
          <w:rFonts w:ascii="Arial" w:hAnsi="Arial" w:cs="Arial"/>
          <w:bCs/>
          <w:sz w:val="24"/>
          <w:szCs w:val="24"/>
        </w:rPr>
        <w:t>Compreende a variação patrimonial aumentativa com reavaliação e ganhos de ativos, bem como com a desincorporação de passivos.</w:t>
      </w:r>
    </w:p>
    <w:p w:rsidR="009327F0" w:rsidRDefault="009327F0" w:rsidP="00FC054E">
      <w:pPr>
        <w:spacing w:after="0" w:line="240" w:lineRule="auto"/>
        <w:rPr>
          <w:rFonts w:ascii="Arial" w:hAnsi="Arial" w:cs="Arial"/>
          <w:bCs/>
          <w:color w:val="215868" w:themeColor="accent5" w:themeShade="80"/>
          <w:sz w:val="24"/>
          <w:szCs w:val="24"/>
        </w:rPr>
      </w:pPr>
    </w:p>
    <w:p w:rsidR="006278CD" w:rsidRPr="006278CD" w:rsidRDefault="006278CD" w:rsidP="00D508EF">
      <w:pPr>
        <w:spacing w:after="0" w:line="240" w:lineRule="auto"/>
        <w:rPr>
          <w:rFonts w:ascii="Arial" w:hAnsi="Arial" w:cs="Arial"/>
          <w:bCs/>
          <w:color w:val="215868" w:themeColor="accent5" w:themeShade="80"/>
          <w:sz w:val="24"/>
          <w:szCs w:val="24"/>
        </w:rPr>
      </w:pPr>
      <w:r w:rsidRPr="006278CD">
        <w:rPr>
          <w:rFonts w:ascii="Arial" w:hAnsi="Arial" w:cs="Arial"/>
          <w:bCs/>
          <w:color w:val="215868" w:themeColor="accent5" w:themeShade="80"/>
          <w:sz w:val="24"/>
          <w:szCs w:val="24"/>
        </w:rPr>
        <w:t>Outras Variações Patrimoniais Aumentativas</w:t>
      </w:r>
    </w:p>
    <w:p w:rsidR="006278CD" w:rsidRDefault="006278CD" w:rsidP="00467EE2">
      <w:pPr>
        <w:spacing w:after="0" w:line="240" w:lineRule="auto"/>
        <w:jc w:val="both"/>
        <w:rPr>
          <w:rFonts w:ascii="Arial" w:hAnsi="Arial" w:cs="Arial"/>
          <w:bCs/>
          <w:sz w:val="24"/>
          <w:szCs w:val="24"/>
        </w:rPr>
      </w:pPr>
      <w:r w:rsidRPr="006278CD">
        <w:rPr>
          <w:rFonts w:ascii="Arial" w:hAnsi="Arial" w:cs="Arial"/>
          <w:bCs/>
          <w:sz w:val="24"/>
          <w:szCs w:val="24"/>
        </w:rPr>
        <w:t xml:space="preserve">Refletem as demais variações patrimoniais aumentativas não citadas acima, inclusive por </w:t>
      </w:r>
      <w:r w:rsidR="005A79AB">
        <w:rPr>
          <w:rFonts w:ascii="Arial" w:hAnsi="Arial" w:cs="Arial"/>
          <w:bCs/>
          <w:sz w:val="24"/>
          <w:szCs w:val="24"/>
        </w:rPr>
        <w:t>redução</w:t>
      </w:r>
      <w:r w:rsidRPr="006278CD">
        <w:rPr>
          <w:rFonts w:ascii="Arial" w:hAnsi="Arial" w:cs="Arial"/>
          <w:bCs/>
          <w:sz w:val="24"/>
          <w:szCs w:val="24"/>
        </w:rPr>
        <w:t xml:space="preserve"> </w:t>
      </w:r>
      <w:r w:rsidR="00E27DA6">
        <w:rPr>
          <w:rFonts w:ascii="Arial" w:hAnsi="Arial" w:cs="Arial"/>
          <w:bCs/>
          <w:sz w:val="24"/>
          <w:szCs w:val="24"/>
        </w:rPr>
        <w:t>d</w:t>
      </w:r>
      <w:r w:rsidR="00E27DA6" w:rsidRPr="006278CD">
        <w:rPr>
          <w:rFonts w:ascii="Arial" w:hAnsi="Arial" w:cs="Arial"/>
          <w:bCs/>
          <w:sz w:val="24"/>
          <w:szCs w:val="24"/>
        </w:rPr>
        <w:t>as despesas com férias e décimo</w:t>
      </w:r>
      <w:r w:rsidR="004A6EC7">
        <w:rPr>
          <w:rFonts w:ascii="Arial" w:hAnsi="Arial" w:cs="Arial"/>
          <w:bCs/>
          <w:sz w:val="24"/>
          <w:szCs w:val="24"/>
        </w:rPr>
        <w:t xml:space="preserve"> terceiro</w:t>
      </w:r>
      <w:r w:rsidR="00E27DA6" w:rsidRPr="006278CD">
        <w:rPr>
          <w:rFonts w:ascii="Arial" w:hAnsi="Arial" w:cs="Arial"/>
          <w:bCs/>
          <w:sz w:val="24"/>
          <w:szCs w:val="24"/>
        </w:rPr>
        <w:t xml:space="preserve"> reconhecidas</w:t>
      </w:r>
      <w:r w:rsidRPr="006278CD">
        <w:rPr>
          <w:rFonts w:ascii="Arial" w:hAnsi="Arial" w:cs="Arial"/>
          <w:bCs/>
          <w:sz w:val="24"/>
          <w:szCs w:val="24"/>
        </w:rPr>
        <w:t xml:space="preserve"> por competência.</w:t>
      </w:r>
    </w:p>
    <w:p w:rsidR="00467EE2" w:rsidRDefault="00467EE2" w:rsidP="00467EE2">
      <w:pPr>
        <w:spacing w:after="0" w:line="240" w:lineRule="auto"/>
        <w:jc w:val="both"/>
        <w:rPr>
          <w:rFonts w:ascii="Arial" w:hAnsi="Arial" w:cs="Arial"/>
          <w:bCs/>
          <w:sz w:val="24"/>
          <w:szCs w:val="24"/>
        </w:rPr>
      </w:pPr>
    </w:p>
    <w:p w:rsidR="009327F0" w:rsidRDefault="009327F0" w:rsidP="00467EE2">
      <w:pPr>
        <w:spacing w:after="0" w:line="240" w:lineRule="auto"/>
        <w:rPr>
          <w:rFonts w:ascii="Arial" w:hAnsi="Arial" w:cs="Arial"/>
          <w:b/>
          <w:bCs/>
          <w:color w:val="215868" w:themeColor="accent5" w:themeShade="80"/>
          <w:sz w:val="24"/>
          <w:szCs w:val="24"/>
        </w:rPr>
      </w:pPr>
    </w:p>
    <w:p w:rsidR="00060291" w:rsidRPr="00060291" w:rsidRDefault="00060291" w:rsidP="00467EE2">
      <w:pPr>
        <w:spacing w:after="0" w:line="240" w:lineRule="auto"/>
        <w:rPr>
          <w:rFonts w:ascii="Arial" w:hAnsi="Arial" w:cs="Arial"/>
          <w:b/>
          <w:bCs/>
          <w:color w:val="215868" w:themeColor="accent5" w:themeShade="80"/>
          <w:sz w:val="24"/>
          <w:szCs w:val="24"/>
        </w:rPr>
      </w:pPr>
      <w:r w:rsidRPr="00060291">
        <w:rPr>
          <w:rFonts w:ascii="Arial" w:hAnsi="Arial" w:cs="Arial"/>
          <w:b/>
          <w:bCs/>
          <w:color w:val="215868" w:themeColor="accent5" w:themeShade="80"/>
          <w:sz w:val="24"/>
          <w:szCs w:val="24"/>
        </w:rPr>
        <w:t xml:space="preserve">Variações </w:t>
      </w:r>
      <w:r>
        <w:rPr>
          <w:rFonts w:ascii="Arial" w:hAnsi="Arial" w:cs="Arial"/>
          <w:b/>
          <w:bCs/>
          <w:color w:val="215868" w:themeColor="accent5" w:themeShade="80"/>
          <w:sz w:val="24"/>
          <w:szCs w:val="24"/>
        </w:rPr>
        <w:t>Diminutivas</w:t>
      </w:r>
    </w:p>
    <w:p w:rsidR="00BD13AF" w:rsidRPr="00060291" w:rsidRDefault="00060291" w:rsidP="003A6484">
      <w:pPr>
        <w:spacing w:after="0" w:line="240" w:lineRule="auto"/>
        <w:jc w:val="both"/>
        <w:rPr>
          <w:rFonts w:ascii="Arial" w:hAnsi="Arial" w:cs="Arial"/>
          <w:bCs/>
          <w:color w:val="215868" w:themeColor="accent5" w:themeShade="80"/>
          <w:sz w:val="24"/>
          <w:szCs w:val="24"/>
        </w:rPr>
      </w:pPr>
      <w:r w:rsidRPr="00060291">
        <w:rPr>
          <w:rFonts w:ascii="Arial" w:hAnsi="Arial" w:cs="Arial"/>
          <w:bCs/>
          <w:color w:val="215868" w:themeColor="accent5" w:themeShade="80"/>
          <w:sz w:val="24"/>
          <w:szCs w:val="24"/>
        </w:rPr>
        <w:t>Pessoal e Encargos</w:t>
      </w:r>
    </w:p>
    <w:p w:rsidR="00060291" w:rsidRPr="00060291" w:rsidRDefault="00060291" w:rsidP="00FC054E">
      <w:pPr>
        <w:spacing w:after="0" w:line="240" w:lineRule="auto"/>
        <w:jc w:val="both"/>
        <w:rPr>
          <w:rFonts w:ascii="Arial" w:hAnsi="Arial" w:cs="Arial"/>
          <w:bCs/>
          <w:sz w:val="24"/>
          <w:szCs w:val="24"/>
        </w:rPr>
      </w:pPr>
      <w:r w:rsidRPr="00060291">
        <w:rPr>
          <w:rFonts w:ascii="Arial" w:hAnsi="Arial" w:cs="Arial"/>
          <w:bCs/>
          <w:sz w:val="24"/>
          <w:szCs w:val="24"/>
        </w:rPr>
        <w:t>Representam a redução do patrimônio d</w:t>
      </w:r>
      <w:r w:rsidR="005D213D">
        <w:rPr>
          <w:rFonts w:ascii="Arial" w:hAnsi="Arial" w:cs="Arial"/>
          <w:bCs/>
          <w:sz w:val="24"/>
          <w:szCs w:val="24"/>
        </w:rPr>
        <w:t>o</w:t>
      </w:r>
      <w:r w:rsidR="009E120F">
        <w:rPr>
          <w:rFonts w:ascii="Arial" w:hAnsi="Arial" w:cs="Arial"/>
          <w:bCs/>
          <w:sz w:val="24"/>
          <w:szCs w:val="24"/>
        </w:rPr>
        <w:t xml:space="preserve"> Fundo Municipal de Saúde</w:t>
      </w:r>
      <w:r w:rsidRPr="00060291">
        <w:rPr>
          <w:rFonts w:ascii="Arial" w:hAnsi="Arial" w:cs="Arial"/>
          <w:bCs/>
          <w:sz w:val="24"/>
          <w:szCs w:val="24"/>
        </w:rPr>
        <w:t xml:space="preserve"> pela assunção da despesa com pessoal, </w:t>
      </w:r>
      <w:r w:rsidR="005D213D">
        <w:rPr>
          <w:rFonts w:ascii="Arial" w:hAnsi="Arial" w:cs="Arial"/>
          <w:bCs/>
          <w:sz w:val="24"/>
          <w:szCs w:val="24"/>
        </w:rPr>
        <w:t>que</w:t>
      </w:r>
      <w:r w:rsidRPr="00060291">
        <w:rPr>
          <w:rFonts w:ascii="Arial" w:hAnsi="Arial" w:cs="Arial"/>
          <w:bCs/>
          <w:sz w:val="24"/>
          <w:szCs w:val="24"/>
        </w:rPr>
        <w:t xml:space="preserve"> produzirá bens ou serviços </w:t>
      </w:r>
      <w:r w:rsidR="004F3763" w:rsidRPr="00060291">
        <w:rPr>
          <w:rFonts w:ascii="Arial" w:hAnsi="Arial" w:cs="Arial"/>
          <w:bCs/>
          <w:sz w:val="24"/>
          <w:szCs w:val="24"/>
        </w:rPr>
        <w:t>à</w:t>
      </w:r>
      <w:r w:rsidRPr="00060291">
        <w:rPr>
          <w:rFonts w:ascii="Arial" w:hAnsi="Arial" w:cs="Arial"/>
          <w:bCs/>
          <w:sz w:val="24"/>
          <w:szCs w:val="24"/>
        </w:rPr>
        <w:t xml:space="preserve"> comunidade, </w:t>
      </w:r>
      <w:r w:rsidR="004F3763" w:rsidRPr="00060291">
        <w:rPr>
          <w:rFonts w:ascii="Arial" w:hAnsi="Arial" w:cs="Arial"/>
          <w:bCs/>
          <w:sz w:val="24"/>
          <w:szCs w:val="24"/>
        </w:rPr>
        <w:t>como a</w:t>
      </w:r>
      <w:r w:rsidRPr="00060291">
        <w:rPr>
          <w:rFonts w:ascii="Arial" w:hAnsi="Arial" w:cs="Arial"/>
          <w:bCs/>
          <w:sz w:val="24"/>
          <w:szCs w:val="24"/>
        </w:rPr>
        <w:t xml:space="preserve"> mão de obra </w:t>
      </w:r>
      <w:r w:rsidR="005D213D">
        <w:rPr>
          <w:rFonts w:ascii="Arial" w:hAnsi="Arial" w:cs="Arial"/>
          <w:bCs/>
          <w:sz w:val="24"/>
          <w:szCs w:val="24"/>
        </w:rPr>
        <w:t xml:space="preserve">de </w:t>
      </w:r>
      <w:r w:rsidRPr="00060291">
        <w:rPr>
          <w:rFonts w:ascii="Arial" w:hAnsi="Arial" w:cs="Arial"/>
          <w:bCs/>
          <w:sz w:val="24"/>
          <w:szCs w:val="24"/>
        </w:rPr>
        <w:t>enfermeiros, médicos, assistentes administrativos, agentes políticos entre outros.</w:t>
      </w:r>
    </w:p>
    <w:p w:rsidR="00FC054E" w:rsidRDefault="00FC054E" w:rsidP="00FC054E">
      <w:pPr>
        <w:spacing w:after="0" w:line="240" w:lineRule="auto"/>
        <w:jc w:val="both"/>
        <w:rPr>
          <w:rFonts w:ascii="Arial" w:hAnsi="Arial" w:cs="Arial"/>
          <w:bCs/>
          <w:color w:val="215868" w:themeColor="accent5" w:themeShade="80"/>
          <w:sz w:val="24"/>
          <w:szCs w:val="24"/>
        </w:rPr>
      </w:pPr>
    </w:p>
    <w:p w:rsidR="00060291" w:rsidRPr="00060291" w:rsidRDefault="00060291" w:rsidP="00FC054E">
      <w:pPr>
        <w:spacing w:after="0" w:line="240" w:lineRule="auto"/>
        <w:jc w:val="both"/>
        <w:rPr>
          <w:rFonts w:ascii="Arial" w:hAnsi="Arial" w:cs="Arial"/>
          <w:bCs/>
          <w:color w:val="215868" w:themeColor="accent5" w:themeShade="80"/>
          <w:sz w:val="24"/>
          <w:szCs w:val="24"/>
        </w:rPr>
      </w:pPr>
      <w:r w:rsidRPr="00060291">
        <w:rPr>
          <w:rFonts w:ascii="Arial" w:hAnsi="Arial" w:cs="Arial"/>
          <w:bCs/>
          <w:color w:val="215868" w:themeColor="accent5" w:themeShade="80"/>
          <w:sz w:val="24"/>
          <w:szCs w:val="24"/>
        </w:rPr>
        <w:lastRenderedPageBreak/>
        <w:t>Benefícios Previdenciários e Assistenciais</w:t>
      </w:r>
    </w:p>
    <w:p w:rsidR="00060291" w:rsidRPr="003A75D4" w:rsidRDefault="00D1023D" w:rsidP="004F3763">
      <w:pPr>
        <w:spacing w:after="0" w:line="240" w:lineRule="auto"/>
        <w:jc w:val="both"/>
        <w:rPr>
          <w:rFonts w:ascii="Arial" w:hAnsi="Arial" w:cs="Arial"/>
          <w:bCs/>
          <w:sz w:val="24"/>
          <w:szCs w:val="24"/>
        </w:rPr>
      </w:pPr>
      <w:r w:rsidRPr="003A75D4">
        <w:rPr>
          <w:rFonts w:ascii="Arial" w:hAnsi="Arial" w:cs="Arial"/>
          <w:bCs/>
          <w:sz w:val="24"/>
          <w:szCs w:val="24"/>
        </w:rPr>
        <w:t>Representam o</w:t>
      </w:r>
      <w:r w:rsidR="002E03EC" w:rsidRPr="003A75D4">
        <w:rPr>
          <w:rFonts w:ascii="Arial" w:hAnsi="Arial" w:cs="Arial"/>
          <w:bCs/>
          <w:sz w:val="24"/>
          <w:szCs w:val="24"/>
        </w:rPr>
        <w:t>s</w:t>
      </w:r>
      <w:r w:rsidRPr="003A75D4">
        <w:rPr>
          <w:rFonts w:ascii="Arial" w:hAnsi="Arial" w:cs="Arial"/>
          <w:bCs/>
          <w:sz w:val="24"/>
          <w:szCs w:val="24"/>
        </w:rPr>
        <w:t xml:space="preserve"> benefícios </w:t>
      </w:r>
      <w:r w:rsidR="002E03EC" w:rsidRPr="003A75D4">
        <w:rPr>
          <w:rFonts w:ascii="Arial" w:hAnsi="Arial" w:cs="Arial"/>
          <w:bCs/>
          <w:sz w:val="24"/>
          <w:szCs w:val="24"/>
        </w:rPr>
        <w:t>eventuais como auxilio saúde e outros.</w:t>
      </w:r>
    </w:p>
    <w:p w:rsidR="00467EE2" w:rsidRDefault="00467EE2" w:rsidP="004F3763">
      <w:pPr>
        <w:spacing w:after="0" w:line="240" w:lineRule="auto"/>
        <w:jc w:val="both"/>
        <w:rPr>
          <w:rFonts w:ascii="Arial" w:hAnsi="Arial" w:cs="Arial"/>
          <w:bCs/>
          <w:color w:val="215868" w:themeColor="accent5" w:themeShade="80"/>
          <w:sz w:val="24"/>
          <w:szCs w:val="24"/>
        </w:rPr>
      </w:pPr>
    </w:p>
    <w:p w:rsidR="002E03EC" w:rsidRPr="002E03EC" w:rsidRDefault="002E03EC" w:rsidP="004F3763">
      <w:pPr>
        <w:spacing w:after="0" w:line="240" w:lineRule="auto"/>
        <w:jc w:val="both"/>
        <w:rPr>
          <w:rFonts w:ascii="Arial" w:hAnsi="Arial" w:cs="Arial"/>
          <w:bCs/>
          <w:color w:val="215868" w:themeColor="accent5" w:themeShade="80"/>
          <w:sz w:val="24"/>
          <w:szCs w:val="24"/>
        </w:rPr>
      </w:pPr>
      <w:r w:rsidRPr="002E03EC">
        <w:rPr>
          <w:rFonts w:ascii="Arial" w:hAnsi="Arial" w:cs="Arial"/>
          <w:bCs/>
          <w:color w:val="215868" w:themeColor="accent5" w:themeShade="80"/>
          <w:sz w:val="24"/>
          <w:szCs w:val="24"/>
        </w:rPr>
        <w:t>Uso de Bens, Serviços e Consumo de capital fixo</w:t>
      </w:r>
    </w:p>
    <w:p w:rsidR="00060291" w:rsidRPr="002E03EC" w:rsidRDefault="002E03EC" w:rsidP="004F3763">
      <w:pPr>
        <w:spacing w:after="0" w:line="240" w:lineRule="auto"/>
        <w:jc w:val="both"/>
        <w:rPr>
          <w:rFonts w:ascii="Arial" w:hAnsi="Arial" w:cs="Arial"/>
          <w:bCs/>
          <w:sz w:val="24"/>
          <w:szCs w:val="24"/>
        </w:rPr>
      </w:pPr>
      <w:r w:rsidRPr="002E03EC">
        <w:rPr>
          <w:rFonts w:ascii="Arial" w:hAnsi="Arial" w:cs="Arial"/>
          <w:bCs/>
          <w:sz w:val="24"/>
          <w:szCs w:val="24"/>
        </w:rPr>
        <w:t xml:space="preserve">Produtos adquiridos como, </w:t>
      </w:r>
      <w:r w:rsidR="00D74B86">
        <w:rPr>
          <w:rFonts w:ascii="Arial" w:hAnsi="Arial" w:cs="Arial"/>
          <w:bCs/>
          <w:sz w:val="24"/>
          <w:szCs w:val="24"/>
        </w:rPr>
        <w:t>medicamentos, combustível entre outros</w:t>
      </w:r>
      <w:r w:rsidRPr="002E03EC">
        <w:rPr>
          <w:rFonts w:ascii="Arial" w:hAnsi="Arial" w:cs="Arial"/>
          <w:bCs/>
          <w:sz w:val="24"/>
          <w:szCs w:val="24"/>
        </w:rPr>
        <w:t xml:space="preserve">. Os serviços contratados como seguros, assinaturas, </w:t>
      </w:r>
      <w:r w:rsidR="00D74B86">
        <w:rPr>
          <w:rFonts w:ascii="Arial" w:hAnsi="Arial" w:cs="Arial"/>
          <w:bCs/>
          <w:sz w:val="24"/>
          <w:szCs w:val="24"/>
        </w:rPr>
        <w:t>serviços médicos e outros</w:t>
      </w:r>
      <w:r w:rsidRPr="002E03EC">
        <w:rPr>
          <w:rFonts w:ascii="Arial" w:hAnsi="Arial" w:cs="Arial"/>
          <w:bCs/>
          <w:sz w:val="24"/>
          <w:szCs w:val="24"/>
        </w:rPr>
        <w:t>. Neste grupo também está contabilizado as variações patrimoniais diminutivas com depreciação de bens móveis e imóveis.</w:t>
      </w:r>
    </w:p>
    <w:p w:rsidR="00467EE2" w:rsidRDefault="00467EE2" w:rsidP="00FC054E">
      <w:pPr>
        <w:spacing w:after="0" w:line="240" w:lineRule="auto"/>
        <w:rPr>
          <w:rFonts w:ascii="Arial" w:hAnsi="Arial" w:cs="Arial"/>
          <w:bCs/>
          <w:color w:val="215868" w:themeColor="accent5" w:themeShade="80"/>
          <w:sz w:val="24"/>
          <w:szCs w:val="24"/>
        </w:rPr>
      </w:pPr>
    </w:p>
    <w:p w:rsidR="009327F0" w:rsidRDefault="009327F0" w:rsidP="00FC054E">
      <w:pPr>
        <w:spacing w:after="0" w:line="240" w:lineRule="auto"/>
        <w:rPr>
          <w:rFonts w:ascii="Arial" w:hAnsi="Arial" w:cs="Arial"/>
          <w:bCs/>
          <w:color w:val="215868" w:themeColor="accent5" w:themeShade="80"/>
          <w:sz w:val="24"/>
          <w:szCs w:val="24"/>
        </w:rPr>
      </w:pPr>
    </w:p>
    <w:p w:rsidR="00E41A21" w:rsidRPr="006278CD" w:rsidRDefault="00E41A21" w:rsidP="00FC054E">
      <w:pPr>
        <w:spacing w:after="0" w:line="240" w:lineRule="auto"/>
        <w:rPr>
          <w:rFonts w:ascii="Arial" w:hAnsi="Arial" w:cs="Arial"/>
          <w:bCs/>
          <w:color w:val="215868" w:themeColor="accent5" w:themeShade="80"/>
          <w:sz w:val="24"/>
          <w:szCs w:val="24"/>
        </w:rPr>
      </w:pPr>
      <w:r w:rsidRPr="006278CD">
        <w:rPr>
          <w:rFonts w:ascii="Arial" w:hAnsi="Arial" w:cs="Arial"/>
          <w:bCs/>
          <w:color w:val="215868" w:themeColor="accent5" w:themeShade="80"/>
          <w:sz w:val="24"/>
          <w:szCs w:val="24"/>
        </w:rPr>
        <w:t xml:space="preserve">Transferências e delegações </w:t>
      </w:r>
      <w:r>
        <w:rPr>
          <w:rFonts w:ascii="Arial" w:hAnsi="Arial" w:cs="Arial"/>
          <w:bCs/>
          <w:color w:val="215868" w:themeColor="accent5" w:themeShade="80"/>
          <w:sz w:val="24"/>
          <w:szCs w:val="24"/>
        </w:rPr>
        <w:t>concedidas</w:t>
      </w:r>
    </w:p>
    <w:p w:rsidR="00E41A21" w:rsidRPr="006278CD" w:rsidRDefault="00F93944" w:rsidP="00FC054E">
      <w:pPr>
        <w:spacing w:after="0" w:line="240" w:lineRule="auto"/>
        <w:jc w:val="both"/>
        <w:rPr>
          <w:rFonts w:ascii="Arial" w:hAnsi="Arial" w:cs="Arial"/>
          <w:bCs/>
          <w:sz w:val="24"/>
          <w:szCs w:val="24"/>
        </w:rPr>
      </w:pPr>
      <w:r>
        <w:rPr>
          <w:rFonts w:ascii="Arial" w:hAnsi="Arial" w:cs="Arial"/>
          <w:bCs/>
          <w:sz w:val="24"/>
          <w:szCs w:val="24"/>
        </w:rPr>
        <w:t>As transferências intragovernamentais</w:t>
      </w:r>
      <w:r w:rsidR="00E41A21">
        <w:rPr>
          <w:rFonts w:ascii="Arial" w:hAnsi="Arial" w:cs="Arial"/>
          <w:bCs/>
          <w:sz w:val="24"/>
          <w:szCs w:val="24"/>
        </w:rPr>
        <w:t xml:space="preserve"> são operações entre órgãos do mesmo Ente Federativo, como é o caso d</w:t>
      </w:r>
      <w:r w:rsidR="00D74B86">
        <w:rPr>
          <w:rFonts w:ascii="Arial" w:hAnsi="Arial" w:cs="Arial"/>
          <w:bCs/>
          <w:sz w:val="24"/>
          <w:szCs w:val="24"/>
        </w:rPr>
        <w:t>a Prefeitura com o</w:t>
      </w:r>
      <w:r w:rsidR="009E120F">
        <w:rPr>
          <w:rFonts w:ascii="Arial" w:hAnsi="Arial" w:cs="Arial"/>
          <w:bCs/>
          <w:sz w:val="24"/>
          <w:szCs w:val="24"/>
        </w:rPr>
        <w:t xml:space="preserve"> Fundo Municipal de Saúde</w:t>
      </w:r>
      <w:r w:rsidR="00E41A21" w:rsidRPr="00D74B86">
        <w:rPr>
          <w:rFonts w:ascii="Arial" w:hAnsi="Arial" w:cs="Arial"/>
          <w:bCs/>
          <w:color w:val="FF0000"/>
          <w:sz w:val="24"/>
          <w:szCs w:val="24"/>
        </w:rPr>
        <w:t xml:space="preserve">. </w:t>
      </w:r>
      <w:r w:rsidR="009E120F" w:rsidRPr="00D04D69">
        <w:rPr>
          <w:rFonts w:ascii="Arial" w:hAnsi="Arial" w:cs="Arial"/>
          <w:bCs/>
          <w:sz w:val="24"/>
          <w:szCs w:val="24"/>
        </w:rPr>
        <w:t>O Fundo Municipal de Saúde</w:t>
      </w:r>
      <w:r w:rsidR="00E41A21" w:rsidRPr="00D04D69">
        <w:rPr>
          <w:rFonts w:ascii="Arial" w:hAnsi="Arial" w:cs="Arial"/>
          <w:bCs/>
          <w:sz w:val="24"/>
          <w:szCs w:val="24"/>
        </w:rPr>
        <w:t xml:space="preserve"> transfere recursos também a Consórcios Públicos em que o mesmo é consorciado por um interesse em comum. </w:t>
      </w:r>
      <w:r w:rsidR="00D04D69">
        <w:rPr>
          <w:rFonts w:ascii="Arial" w:hAnsi="Arial" w:cs="Arial"/>
          <w:bCs/>
          <w:sz w:val="24"/>
          <w:szCs w:val="24"/>
        </w:rPr>
        <w:t xml:space="preserve">O Fundo de Saúde também </w:t>
      </w:r>
      <w:r w:rsidR="00D04D69" w:rsidRPr="0074775A">
        <w:rPr>
          <w:rFonts w:ascii="Arial" w:hAnsi="Arial" w:cs="Arial"/>
          <w:bCs/>
          <w:sz w:val="24"/>
          <w:szCs w:val="24"/>
        </w:rPr>
        <w:t xml:space="preserve">transfere recursos </w:t>
      </w:r>
      <w:r w:rsidR="0074775A" w:rsidRPr="0074775A">
        <w:rPr>
          <w:rFonts w:ascii="Arial" w:hAnsi="Arial" w:cs="Arial"/>
          <w:bCs/>
          <w:sz w:val="24"/>
          <w:szCs w:val="24"/>
        </w:rPr>
        <w:t xml:space="preserve">a </w:t>
      </w:r>
      <w:r w:rsidR="0074775A" w:rsidRPr="005B63B9">
        <w:rPr>
          <w:rFonts w:ascii="Arial" w:hAnsi="Arial" w:cs="Arial"/>
          <w:bCs/>
          <w:sz w:val="24"/>
          <w:szCs w:val="24"/>
        </w:rPr>
        <w:t xml:space="preserve">Sociedade </w:t>
      </w:r>
      <w:r w:rsidR="00704DF7" w:rsidRPr="005B63B9">
        <w:rPr>
          <w:rFonts w:ascii="Arial" w:hAnsi="Arial" w:cs="Arial"/>
          <w:bCs/>
          <w:sz w:val="24"/>
          <w:szCs w:val="24"/>
        </w:rPr>
        <w:t>Beneficente</w:t>
      </w:r>
      <w:r w:rsidR="0074775A" w:rsidRPr="005B63B9">
        <w:rPr>
          <w:rFonts w:ascii="Arial" w:hAnsi="Arial" w:cs="Arial"/>
          <w:bCs/>
          <w:sz w:val="24"/>
          <w:szCs w:val="24"/>
        </w:rPr>
        <w:t xml:space="preserve"> Hospitalar de Maravilha</w:t>
      </w:r>
      <w:r w:rsidR="0074775A" w:rsidRPr="0074775A">
        <w:rPr>
          <w:rFonts w:ascii="Arial" w:hAnsi="Arial" w:cs="Arial"/>
          <w:bCs/>
          <w:sz w:val="24"/>
          <w:szCs w:val="24"/>
        </w:rPr>
        <w:t>.</w:t>
      </w:r>
      <w:r w:rsidR="0074775A">
        <w:rPr>
          <w:rFonts w:ascii="Arial" w:hAnsi="Arial" w:cs="Arial"/>
          <w:bCs/>
          <w:color w:val="FF0000"/>
          <w:sz w:val="24"/>
          <w:szCs w:val="24"/>
        </w:rPr>
        <w:t xml:space="preserve"> </w:t>
      </w:r>
      <w:r w:rsidR="00E41A21" w:rsidRPr="00D04D69">
        <w:rPr>
          <w:rFonts w:ascii="Arial" w:hAnsi="Arial" w:cs="Arial"/>
          <w:bCs/>
          <w:sz w:val="24"/>
          <w:szCs w:val="24"/>
        </w:rPr>
        <w:t xml:space="preserve">Poderão haver outros tipos </w:t>
      </w:r>
      <w:r w:rsidR="00E41A21">
        <w:rPr>
          <w:rFonts w:ascii="Arial" w:hAnsi="Arial" w:cs="Arial"/>
          <w:bCs/>
          <w:sz w:val="24"/>
          <w:szCs w:val="24"/>
        </w:rPr>
        <w:t>de transferências, ambas podendo ser legais ou voluntárias.</w:t>
      </w:r>
    </w:p>
    <w:p w:rsidR="00D508EF" w:rsidRDefault="00D508EF" w:rsidP="00FC054E">
      <w:pPr>
        <w:spacing w:after="0" w:line="240" w:lineRule="auto"/>
        <w:rPr>
          <w:rFonts w:ascii="Arial" w:hAnsi="Arial" w:cs="Arial"/>
          <w:bCs/>
          <w:color w:val="215868" w:themeColor="accent5" w:themeShade="80"/>
          <w:sz w:val="24"/>
          <w:szCs w:val="24"/>
        </w:rPr>
      </w:pPr>
    </w:p>
    <w:p w:rsidR="00EF0CDA" w:rsidRDefault="00EF0CDA" w:rsidP="00EF0CDA">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Tributárias</w:t>
      </w:r>
    </w:p>
    <w:p w:rsidR="00EF0CDA" w:rsidRPr="00785F79" w:rsidRDefault="00EF0CDA" w:rsidP="00EF0CDA">
      <w:pPr>
        <w:spacing w:after="0" w:line="240" w:lineRule="auto"/>
        <w:rPr>
          <w:rFonts w:ascii="Arial" w:hAnsi="Arial" w:cs="Arial"/>
          <w:bCs/>
          <w:sz w:val="24"/>
          <w:szCs w:val="24"/>
        </w:rPr>
      </w:pPr>
      <w:r w:rsidRPr="00785F79">
        <w:rPr>
          <w:rFonts w:ascii="Arial" w:hAnsi="Arial" w:cs="Arial"/>
          <w:bCs/>
          <w:sz w:val="24"/>
          <w:szCs w:val="24"/>
        </w:rPr>
        <w:t>Representam a despesa com taxas e contribuições.</w:t>
      </w:r>
    </w:p>
    <w:p w:rsidR="00467EE2" w:rsidRDefault="00467EE2" w:rsidP="0093664A">
      <w:pPr>
        <w:spacing w:after="0" w:line="240" w:lineRule="auto"/>
        <w:rPr>
          <w:rFonts w:ascii="Arial" w:hAnsi="Arial" w:cs="Arial"/>
          <w:b/>
          <w:bCs/>
          <w:color w:val="984806" w:themeColor="accent6" w:themeShade="80"/>
          <w:sz w:val="24"/>
          <w:szCs w:val="24"/>
        </w:rPr>
      </w:pPr>
    </w:p>
    <w:p w:rsidR="009327F0" w:rsidRPr="00FC054E" w:rsidRDefault="009327F0" w:rsidP="0093664A">
      <w:pPr>
        <w:spacing w:after="0" w:line="240" w:lineRule="auto"/>
        <w:rPr>
          <w:rFonts w:ascii="Arial" w:hAnsi="Arial" w:cs="Arial"/>
          <w:b/>
          <w:bCs/>
          <w:color w:val="984806" w:themeColor="accent6" w:themeShade="80"/>
          <w:sz w:val="24"/>
          <w:szCs w:val="24"/>
        </w:rPr>
      </w:pPr>
    </w:p>
    <w:p w:rsidR="008A3226" w:rsidRPr="0093664A" w:rsidRDefault="005A63BA" w:rsidP="0093664A">
      <w:pPr>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NOTAS EXPLICATIVAS AO BALANÇO FINANCEIRO</w:t>
      </w:r>
    </w:p>
    <w:p w:rsidR="00FC075C" w:rsidRDefault="00FC075C" w:rsidP="004F3763">
      <w:pPr>
        <w:spacing w:after="0" w:line="240" w:lineRule="auto"/>
        <w:rPr>
          <w:rFonts w:ascii="Arial" w:hAnsi="Arial" w:cs="Arial"/>
          <w:b/>
          <w:bCs/>
          <w:color w:val="215868" w:themeColor="accent5" w:themeShade="80"/>
          <w:sz w:val="24"/>
          <w:szCs w:val="24"/>
        </w:rPr>
      </w:pPr>
    </w:p>
    <w:p w:rsidR="00467EE2" w:rsidRDefault="00467EE2" w:rsidP="004F3763">
      <w:pPr>
        <w:spacing w:after="0" w:line="240" w:lineRule="auto"/>
        <w:jc w:val="both"/>
        <w:rPr>
          <w:rFonts w:ascii="Arial" w:hAnsi="Arial" w:cs="Arial"/>
          <w:b/>
          <w:bCs/>
          <w:color w:val="215868" w:themeColor="accent5" w:themeShade="80"/>
          <w:sz w:val="24"/>
          <w:szCs w:val="24"/>
        </w:rPr>
      </w:pPr>
    </w:p>
    <w:p w:rsidR="008A3226" w:rsidRPr="00467EE2" w:rsidRDefault="003F250A"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20</w:t>
      </w:r>
      <w:r w:rsidR="008A3226" w:rsidRPr="005A63BA">
        <w:rPr>
          <w:rFonts w:ascii="Arial" w:hAnsi="Arial" w:cs="Arial"/>
          <w:b/>
          <w:bCs/>
          <w:color w:val="215868" w:themeColor="accent5" w:themeShade="80"/>
          <w:sz w:val="24"/>
          <w:szCs w:val="24"/>
        </w:rPr>
        <w:t xml:space="preserve"> </w:t>
      </w:r>
      <w:r w:rsidR="008A3226" w:rsidRPr="00467EE2">
        <w:rPr>
          <w:rFonts w:ascii="Arial" w:hAnsi="Arial" w:cs="Arial"/>
          <w:b/>
          <w:bCs/>
          <w:color w:val="215868" w:themeColor="accent5" w:themeShade="80"/>
          <w:sz w:val="24"/>
          <w:szCs w:val="24"/>
        </w:rPr>
        <w:t>Transferências Fin</w:t>
      </w:r>
      <w:r w:rsidR="00FB4284">
        <w:rPr>
          <w:rFonts w:ascii="Arial" w:hAnsi="Arial" w:cs="Arial"/>
          <w:b/>
          <w:bCs/>
          <w:color w:val="215868" w:themeColor="accent5" w:themeShade="80"/>
          <w:sz w:val="24"/>
          <w:szCs w:val="24"/>
        </w:rPr>
        <w:t>anceiras Recebidas e Concedidas</w:t>
      </w:r>
    </w:p>
    <w:p w:rsidR="00FC075C" w:rsidRPr="00467EE2" w:rsidRDefault="00FC075C" w:rsidP="003A6484">
      <w:pPr>
        <w:autoSpaceDE w:val="0"/>
        <w:autoSpaceDN w:val="0"/>
        <w:adjustRightInd w:val="0"/>
        <w:spacing w:after="0" w:line="240" w:lineRule="auto"/>
        <w:jc w:val="both"/>
        <w:rPr>
          <w:rFonts w:ascii="Arial" w:hAnsi="Arial" w:cs="Arial"/>
          <w:sz w:val="24"/>
          <w:szCs w:val="24"/>
        </w:rPr>
      </w:pPr>
      <w:r w:rsidRPr="00467EE2">
        <w:rPr>
          <w:rFonts w:ascii="Arial" w:hAnsi="Arial" w:cs="Arial"/>
          <w:sz w:val="24"/>
          <w:szCs w:val="24"/>
        </w:rPr>
        <w:t>Não houveram receitas e despesas intraorçamentária, apenas transferências intraorçamentárias:</w:t>
      </w:r>
    </w:p>
    <w:p w:rsidR="00FC075C" w:rsidRPr="00DD0B55" w:rsidRDefault="00FC075C" w:rsidP="00FC075C">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firstRow="1" w:lastRow="0" w:firstColumn="1" w:lastColumn="0" w:noHBand="0" w:noVBand="1"/>
      </w:tblPr>
      <w:tblGrid>
        <w:gridCol w:w="1617"/>
        <w:gridCol w:w="1617"/>
        <w:gridCol w:w="1479"/>
        <w:gridCol w:w="2248"/>
        <w:gridCol w:w="2111"/>
      </w:tblGrid>
      <w:tr w:rsidR="00FC075C" w:rsidRPr="00333898" w:rsidTr="007B30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39" w:type="dxa"/>
          </w:tcPr>
          <w:p w:rsidR="00FC075C" w:rsidRPr="007B30E3" w:rsidRDefault="007B30E3" w:rsidP="007B30E3">
            <w:pPr>
              <w:autoSpaceDE w:val="0"/>
              <w:autoSpaceDN w:val="0"/>
              <w:adjustRightInd w:val="0"/>
              <w:rPr>
                <w:rFonts w:ascii="Arial" w:hAnsi="Arial" w:cs="Arial"/>
                <w:b w:val="0"/>
                <w:color w:val="auto"/>
                <w:sz w:val="20"/>
                <w:szCs w:val="20"/>
              </w:rPr>
            </w:pPr>
            <w:r w:rsidRPr="007B30E3">
              <w:rPr>
                <w:rFonts w:ascii="Arial" w:hAnsi="Arial" w:cs="Arial"/>
                <w:b w:val="0"/>
                <w:color w:val="auto"/>
                <w:sz w:val="20"/>
                <w:szCs w:val="20"/>
              </w:rPr>
              <w:t>ENTIDADE CONCEDENTE</w:t>
            </w:r>
          </w:p>
        </w:tc>
        <w:tc>
          <w:tcPr>
            <w:tcW w:w="1420" w:type="dxa"/>
          </w:tcPr>
          <w:p w:rsidR="00FC075C" w:rsidRPr="007B30E3" w:rsidRDefault="007B30E3"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7B30E3">
              <w:rPr>
                <w:rFonts w:ascii="Arial" w:hAnsi="Arial" w:cs="Arial"/>
                <w:b w:val="0"/>
                <w:color w:val="auto"/>
                <w:sz w:val="20"/>
                <w:szCs w:val="20"/>
              </w:rPr>
              <w:t>ENTIDADE RECEBEDORA</w:t>
            </w:r>
          </w:p>
        </w:tc>
        <w:tc>
          <w:tcPr>
            <w:tcW w:w="1501" w:type="dxa"/>
          </w:tcPr>
          <w:p w:rsidR="00FC075C" w:rsidRPr="007B30E3" w:rsidRDefault="007B30E3"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7B30E3">
              <w:rPr>
                <w:rFonts w:ascii="Arial" w:hAnsi="Arial" w:cs="Arial"/>
                <w:b w:val="0"/>
                <w:color w:val="auto"/>
                <w:sz w:val="20"/>
                <w:szCs w:val="20"/>
              </w:rPr>
              <w:t>VALOR</w:t>
            </w:r>
          </w:p>
        </w:tc>
        <w:tc>
          <w:tcPr>
            <w:tcW w:w="2444" w:type="dxa"/>
          </w:tcPr>
          <w:p w:rsidR="00FC075C" w:rsidRPr="007B30E3" w:rsidRDefault="007B30E3"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7B30E3">
              <w:rPr>
                <w:rFonts w:ascii="Arial" w:hAnsi="Arial" w:cs="Arial"/>
                <w:b w:val="0"/>
                <w:color w:val="auto"/>
                <w:sz w:val="20"/>
                <w:szCs w:val="20"/>
              </w:rPr>
              <w:t>FINALIDADE</w:t>
            </w:r>
          </w:p>
        </w:tc>
        <w:tc>
          <w:tcPr>
            <w:tcW w:w="2268" w:type="dxa"/>
          </w:tcPr>
          <w:p w:rsidR="00FC075C" w:rsidRPr="007B30E3" w:rsidRDefault="007B30E3"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7B30E3">
              <w:rPr>
                <w:rFonts w:ascii="Arial" w:hAnsi="Arial" w:cs="Arial"/>
                <w:b w:val="0"/>
                <w:color w:val="auto"/>
                <w:sz w:val="20"/>
                <w:szCs w:val="20"/>
              </w:rPr>
              <w:t>ATO LEGAL</w:t>
            </w:r>
          </w:p>
        </w:tc>
      </w:tr>
      <w:tr w:rsidR="00EF0CDA" w:rsidRPr="00333898" w:rsidTr="00FE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EF0CDA" w:rsidRPr="007B30E3" w:rsidRDefault="00EF0CDA" w:rsidP="00EF0CDA">
            <w:pPr>
              <w:autoSpaceDE w:val="0"/>
              <w:autoSpaceDN w:val="0"/>
              <w:adjustRightInd w:val="0"/>
              <w:rPr>
                <w:rFonts w:ascii="Arial" w:hAnsi="Arial" w:cs="Arial"/>
                <w:b w:val="0"/>
                <w:sz w:val="20"/>
                <w:szCs w:val="20"/>
              </w:rPr>
            </w:pPr>
            <w:r w:rsidRPr="007B30E3">
              <w:rPr>
                <w:rFonts w:ascii="Arial" w:hAnsi="Arial" w:cs="Arial"/>
                <w:b w:val="0"/>
                <w:sz w:val="20"/>
                <w:szCs w:val="20"/>
              </w:rPr>
              <w:t>Prefeitura</w:t>
            </w:r>
          </w:p>
        </w:tc>
        <w:tc>
          <w:tcPr>
            <w:tcW w:w="1420" w:type="dxa"/>
          </w:tcPr>
          <w:p w:rsidR="00EF0CDA" w:rsidRPr="007B30E3" w:rsidRDefault="00EF0CDA" w:rsidP="00EF0C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B30E3">
              <w:rPr>
                <w:rFonts w:ascii="Arial" w:hAnsi="Arial" w:cs="Arial"/>
                <w:b/>
                <w:sz w:val="20"/>
                <w:szCs w:val="20"/>
              </w:rPr>
              <w:t>Fundo Municipal de Saúde</w:t>
            </w:r>
          </w:p>
        </w:tc>
        <w:tc>
          <w:tcPr>
            <w:tcW w:w="1501" w:type="dxa"/>
          </w:tcPr>
          <w:p w:rsidR="00EF0CDA" w:rsidRPr="007B30E3" w:rsidRDefault="0012699A" w:rsidP="00EF0CDA">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30E3">
              <w:rPr>
                <w:rFonts w:ascii="Arial" w:hAnsi="Arial" w:cs="Arial"/>
                <w:sz w:val="20"/>
                <w:szCs w:val="20"/>
              </w:rPr>
              <w:t>2.402.727,79</w:t>
            </w:r>
          </w:p>
        </w:tc>
        <w:tc>
          <w:tcPr>
            <w:tcW w:w="2444" w:type="dxa"/>
          </w:tcPr>
          <w:p w:rsidR="00EF0CDA" w:rsidRPr="007B30E3" w:rsidRDefault="00EF0CDA" w:rsidP="00EF0CD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30E3">
              <w:rPr>
                <w:rFonts w:ascii="Arial" w:hAnsi="Arial" w:cs="Arial"/>
                <w:sz w:val="20"/>
                <w:szCs w:val="20"/>
              </w:rPr>
              <w:t>Manutenção de todas as atividades do Fundo Municipal de Saúde</w:t>
            </w:r>
          </w:p>
        </w:tc>
        <w:tc>
          <w:tcPr>
            <w:tcW w:w="2268" w:type="dxa"/>
          </w:tcPr>
          <w:p w:rsidR="00EF0CDA" w:rsidRPr="007B30E3" w:rsidRDefault="00EF0CDA" w:rsidP="009327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30E3">
              <w:rPr>
                <w:rFonts w:ascii="Arial" w:hAnsi="Arial" w:cs="Arial"/>
                <w:sz w:val="20"/>
                <w:szCs w:val="20"/>
              </w:rPr>
              <w:t xml:space="preserve">A Lei Municipal nº </w:t>
            </w:r>
            <w:r w:rsidR="009327F0">
              <w:rPr>
                <w:rFonts w:ascii="Arial" w:hAnsi="Arial" w:cs="Arial"/>
                <w:sz w:val="20"/>
                <w:szCs w:val="20"/>
              </w:rPr>
              <w:t>1402</w:t>
            </w:r>
            <w:r w:rsidRPr="007B30E3">
              <w:rPr>
                <w:rFonts w:ascii="Arial" w:hAnsi="Arial" w:cs="Arial"/>
                <w:sz w:val="20"/>
                <w:szCs w:val="20"/>
              </w:rPr>
              <w:t>, de 0</w:t>
            </w:r>
            <w:r w:rsidR="009327F0">
              <w:rPr>
                <w:rFonts w:ascii="Arial" w:hAnsi="Arial" w:cs="Arial"/>
                <w:sz w:val="20"/>
                <w:szCs w:val="20"/>
              </w:rPr>
              <w:t>3</w:t>
            </w:r>
            <w:r w:rsidRPr="007B30E3">
              <w:rPr>
                <w:rFonts w:ascii="Arial" w:hAnsi="Arial" w:cs="Arial"/>
                <w:sz w:val="20"/>
                <w:szCs w:val="20"/>
              </w:rPr>
              <w:t xml:space="preserve"> de dezembro de 201</w:t>
            </w:r>
            <w:r w:rsidR="009327F0">
              <w:rPr>
                <w:rFonts w:ascii="Arial" w:hAnsi="Arial" w:cs="Arial"/>
                <w:sz w:val="20"/>
                <w:szCs w:val="20"/>
              </w:rPr>
              <w:t>8</w:t>
            </w:r>
            <w:r w:rsidRPr="007B30E3">
              <w:rPr>
                <w:rFonts w:ascii="Arial" w:hAnsi="Arial" w:cs="Arial"/>
                <w:sz w:val="20"/>
                <w:szCs w:val="20"/>
              </w:rPr>
              <w:t xml:space="preserve"> aprovou a Lei Orçamentária 201</w:t>
            </w:r>
            <w:r w:rsidR="009327F0">
              <w:rPr>
                <w:rFonts w:ascii="Arial" w:hAnsi="Arial" w:cs="Arial"/>
                <w:sz w:val="20"/>
                <w:szCs w:val="20"/>
              </w:rPr>
              <w:t>9</w:t>
            </w:r>
          </w:p>
        </w:tc>
      </w:tr>
    </w:tbl>
    <w:p w:rsidR="00FC075C" w:rsidRPr="008C3C56" w:rsidRDefault="00FC075C" w:rsidP="00FC075C">
      <w:pPr>
        <w:autoSpaceDE w:val="0"/>
        <w:autoSpaceDN w:val="0"/>
        <w:adjustRightInd w:val="0"/>
        <w:spacing w:after="0" w:line="240" w:lineRule="auto"/>
        <w:jc w:val="both"/>
        <w:rPr>
          <w:rFonts w:ascii="Arial" w:hAnsi="Arial" w:cs="Arial"/>
          <w:sz w:val="24"/>
          <w:szCs w:val="24"/>
        </w:rPr>
      </w:pPr>
    </w:p>
    <w:p w:rsidR="00467EE2" w:rsidRDefault="00467EE2" w:rsidP="003A6484">
      <w:pPr>
        <w:spacing w:after="0" w:line="240" w:lineRule="auto"/>
        <w:jc w:val="both"/>
        <w:rPr>
          <w:rFonts w:ascii="Arial" w:hAnsi="Arial" w:cs="Arial"/>
          <w:b/>
          <w:bCs/>
          <w:color w:val="215868" w:themeColor="accent5" w:themeShade="80"/>
          <w:sz w:val="24"/>
          <w:szCs w:val="24"/>
        </w:rPr>
      </w:pPr>
    </w:p>
    <w:p w:rsidR="008A3226" w:rsidRPr="005A63BA" w:rsidRDefault="00903CFB" w:rsidP="003A6484">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21</w:t>
      </w:r>
      <w:r w:rsidR="00FB4284">
        <w:rPr>
          <w:rFonts w:ascii="Arial" w:hAnsi="Arial" w:cs="Arial"/>
          <w:b/>
          <w:bCs/>
          <w:color w:val="215868" w:themeColor="accent5" w:themeShade="80"/>
          <w:sz w:val="24"/>
          <w:szCs w:val="24"/>
        </w:rPr>
        <w:t xml:space="preserve"> Retenções tributárias</w:t>
      </w:r>
    </w:p>
    <w:p w:rsidR="00467EE2" w:rsidRDefault="009E120F" w:rsidP="00467EE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Fundo Municipal de Saúde</w:t>
      </w:r>
      <w:r w:rsidR="00FC075C" w:rsidRPr="007C5270">
        <w:rPr>
          <w:rFonts w:ascii="Arial" w:hAnsi="Arial" w:cs="Arial"/>
          <w:sz w:val="24"/>
          <w:szCs w:val="24"/>
        </w:rPr>
        <w:t xml:space="preserve"> adota a política contábil de registro das retenções na conta crédito empenhado liquidado pago no momento da retenção</w:t>
      </w:r>
      <w:r w:rsidR="00FC075C">
        <w:rPr>
          <w:rFonts w:ascii="Arial" w:hAnsi="Arial" w:cs="Arial"/>
          <w:sz w:val="24"/>
          <w:szCs w:val="24"/>
        </w:rPr>
        <w:t>,</w:t>
      </w:r>
      <w:r w:rsidR="00564C54">
        <w:rPr>
          <w:rFonts w:ascii="Arial" w:hAnsi="Arial" w:cs="Arial"/>
          <w:sz w:val="24"/>
          <w:szCs w:val="24"/>
        </w:rPr>
        <w:t xml:space="preserve"> ou seja, </w:t>
      </w:r>
      <w:r w:rsidR="00376F5C">
        <w:rPr>
          <w:rFonts w:ascii="Arial" w:hAnsi="Arial" w:cs="Arial"/>
          <w:sz w:val="24"/>
          <w:szCs w:val="24"/>
        </w:rPr>
        <w:t xml:space="preserve">orçamentariamente </w:t>
      </w:r>
      <w:r w:rsidR="00564C54">
        <w:rPr>
          <w:rFonts w:ascii="Arial" w:hAnsi="Arial" w:cs="Arial"/>
          <w:sz w:val="24"/>
          <w:szCs w:val="24"/>
        </w:rPr>
        <w:t>na fase da liquidação da despesa,</w:t>
      </w:r>
      <w:r w:rsidR="00FC075C">
        <w:rPr>
          <w:rFonts w:ascii="Arial" w:hAnsi="Arial" w:cs="Arial"/>
          <w:sz w:val="24"/>
          <w:szCs w:val="24"/>
        </w:rPr>
        <w:t xml:space="preserve"> </w:t>
      </w:r>
      <w:r w:rsidR="00376F5C" w:rsidRPr="007C5270">
        <w:rPr>
          <w:rFonts w:ascii="Arial" w:hAnsi="Arial" w:cs="Arial"/>
          <w:sz w:val="24"/>
          <w:szCs w:val="24"/>
        </w:rPr>
        <w:t>pois considera-se que</w:t>
      </w:r>
      <w:r w:rsidR="00376F5C">
        <w:rPr>
          <w:rFonts w:ascii="Arial" w:hAnsi="Arial" w:cs="Arial"/>
          <w:sz w:val="24"/>
          <w:szCs w:val="24"/>
        </w:rPr>
        <w:t xml:space="preserve"> nesse momento</w:t>
      </w:r>
      <w:r w:rsidR="00376F5C" w:rsidRPr="007C5270">
        <w:rPr>
          <w:rFonts w:ascii="Arial" w:hAnsi="Arial" w:cs="Arial"/>
          <w:sz w:val="24"/>
          <w:szCs w:val="24"/>
        </w:rPr>
        <w:t xml:space="preserve"> a obrigação com o credor da despesa foi totalmente quitada, restando uma obrigação com um terceiro</w:t>
      </w:r>
      <w:r w:rsidR="00376F5C">
        <w:rPr>
          <w:rFonts w:ascii="Arial" w:hAnsi="Arial" w:cs="Arial"/>
          <w:sz w:val="24"/>
          <w:szCs w:val="24"/>
        </w:rPr>
        <w:t>,</w:t>
      </w:r>
      <w:r w:rsidR="00376F5C" w:rsidRPr="007C5270">
        <w:rPr>
          <w:rFonts w:ascii="Arial" w:hAnsi="Arial" w:cs="Arial"/>
          <w:sz w:val="24"/>
          <w:szCs w:val="24"/>
        </w:rPr>
        <w:t xml:space="preserve"> </w:t>
      </w:r>
      <w:r w:rsidR="00FC075C">
        <w:rPr>
          <w:rFonts w:ascii="Arial" w:hAnsi="Arial" w:cs="Arial"/>
          <w:sz w:val="24"/>
          <w:szCs w:val="24"/>
        </w:rPr>
        <w:t>conforme orientações do TCE/SC</w:t>
      </w:r>
      <w:r w:rsidR="00FC075C" w:rsidRPr="007C5270">
        <w:rPr>
          <w:rFonts w:ascii="Arial" w:hAnsi="Arial" w:cs="Arial"/>
          <w:sz w:val="24"/>
          <w:szCs w:val="24"/>
        </w:rPr>
        <w:t xml:space="preserve">. </w:t>
      </w:r>
    </w:p>
    <w:p w:rsidR="00467EE2" w:rsidRDefault="00467EE2" w:rsidP="00467EE2">
      <w:pPr>
        <w:autoSpaceDE w:val="0"/>
        <w:autoSpaceDN w:val="0"/>
        <w:adjustRightInd w:val="0"/>
        <w:spacing w:after="0" w:line="240" w:lineRule="auto"/>
        <w:jc w:val="both"/>
        <w:rPr>
          <w:rFonts w:ascii="Arial" w:hAnsi="Arial" w:cs="Arial"/>
          <w:sz w:val="24"/>
          <w:szCs w:val="24"/>
        </w:rPr>
      </w:pPr>
    </w:p>
    <w:p w:rsidR="00467EE2" w:rsidRDefault="00467EE2" w:rsidP="00467EE2">
      <w:pPr>
        <w:autoSpaceDE w:val="0"/>
        <w:autoSpaceDN w:val="0"/>
        <w:adjustRightInd w:val="0"/>
        <w:spacing w:after="0" w:line="240" w:lineRule="auto"/>
        <w:jc w:val="both"/>
        <w:rPr>
          <w:rFonts w:ascii="Arial" w:hAnsi="Arial" w:cs="Arial"/>
          <w:b/>
          <w:bCs/>
          <w:color w:val="215868" w:themeColor="accent5" w:themeShade="80"/>
          <w:sz w:val="24"/>
          <w:szCs w:val="24"/>
        </w:rPr>
      </w:pPr>
    </w:p>
    <w:p w:rsidR="008A3226" w:rsidRPr="005A63BA" w:rsidRDefault="00903CFB" w:rsidP="00E3180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22</w:t>
      </w:r>
      <w:r w:rsidR="008A3226" w:rsidRPr="005A63BA">
        <w:rPr>
          <w:rFonts w:ascii="Arial" w:hAnsi="Arial" w:cs="Arial"/>
          <w:b/>
          <w:bCs/>
          <w:color w:val="215868" w:themeColor="accent5" w:themeShade="80"/>
          <w:sz w:val="24"/>
          <w:szCs w:val="24"/>
        </w:rPr>
        <w:t xml:space="preserve"> Restos a paga</w:t>
      </w:r>
      <w:r w:rsidR="00FB4284">
        <w:rPr>
          <w:rFonts w:ascii="Arial" w:hAnsi="Arial" w:cs="Arial"/>
          <w:b/>
          <w:bCs/>
          <w:color w:val="215868" w:themeColor="accent5" w:themeShade="80"/>
          <w:sz w:val="24"/>
          <w:szCs w:val="24"/>
        </w:rPr>
        <w:t>r processados e não processados</w:t>
      </w:r>
    </w:p>
    <w:p w:rsidR="00855A6A" w:rsidRDefault="00855A6A" w:rsidP="00855A6A">
      <w:pPr>
        <w:spacing w:after="0" w:line="240" w:lineRule="auto"/>
        <w:jc w:val="both"/>
        <w:rPr>
          <w:rFonts w:ascii="Arial" w:hAnsi="Arial" w:cs="Arial"/>
          <w:bCs/>
          <w:sz w:val="24"/>
          <w:szCs w:val="24"/>
        </w:rPr>
      </w:pPr>
      <w:r w:rsidRPr="008D5259">
        <w:rPr>
          <w:rFonts w:ascii="Arial" w:hAnsi="Arial" w:cs="Arial"/>
          <w:bCs/>
          <w:sz w:val="24"/>
          <w:szCs w:val="24"/>
        </w:rPr>
        <w:lastRenderedPageBreak/>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9.149,50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sendo estes pagos no ano.</w:t>
      </w:r>
      <w:r w:rsidRPr="00DF4B19">
        <w:rPr>
          <w:rFonts w:ascii="Arial" w:hAnsi="Arial" w:cs="Arial"/>
          <w:bCs/>
          <w:sz w:val="24"/>
          <w:szCs w:val="24"/>
        </w:rPr>
        <w:t xml:space="preserve"> </w:t>
      </w:r>
      <w:r>
        <w:rPr>
          <w:rFonts w:ascii="Arial" w:hAnsi="Arial" w:cs="Arial"/>
          <w:bCs/>
          <w:sz w:val="24"/>
          <w:szCs w:val="24"/>
        </w:rPr>
        <w:t>A entidade FMS inscreveu em restos a pagar não processados R$ 17.974,35.</w:t>
      </w:r>
    </w:p>
    <w:p w:rsidR="00855A6A" w:rsidRDefault="00855A6A" w:rsidP="00855A6A">
      <w:pPr>
        <w:spacing w:after="0" w:line="240" w:lineRule="auto"/>
        <w:jc w:val="both"/>
        <w:rPr>
          <w:rFonts w:ascii="Arial" w:hAnsi="Arial" w:cs="Arial"/>
          <w:bCs/>
          <w:sz w:val="24"/>
          <w:szCs w:val="24"/>
        </w:rPr>
      </w:pPr>
    </w:p>
    <w:p w:rsidR="00855A6A" w:rsidRDefault="00855A6A" w:rsidP="00855A6A">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2019</w:t>
      </w:r>
      <w:r w:rsidRPr="008D5259">
        <w:rPr>
          <w:rFonts w:ascii="Arial" w:hAnsi="Arial" w:cs="Arial"/>
          <w:bCs/>
          <w:sz w:val="24"/>
          <w:szCs w:val="24"/>
        </w:rPr>
        <w:t xml:space="preserve"> iniciou com um montante de R$ </w:t>
      </w:r>
      <w:r>
        <w:rPr>
          <w:rFonts w:ascii="Arial" w:hAnsi="Arial" w:cs="Arial"/>
          <w:bCs/>
          <w:sz w:val="24"/>
          <w:szCs w:val="24"/>
        </w:rPr>
        <w:t xml:space="preserve">1.040,13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R$ 915,13 pagos e R$ 125,00, cancelados, no exercício.</w:t>
      </w:r>
    </w:p>
    <w:p w:rsidR="00855A6A" w:rsidRPr="001A008C" w:rsidRDefault="00855A6A" w:rsidP="00855A6A">
      <w:pPr>
        <w:spacing w:after="0" w:line="240" w:lineRule="auto"/>
        <w:jc w:val="both"/>
        <w:rPr>
          <w:rFonts w:ascii="Arial" w:hAnsi="Arial" w:cs="Arial"/>
          <w:b/>
          <w:bCs/>
          <w:color w:val="215868" w:themeColor="accent5" w:themeShade="80"/>
          <w:sz w:val="24"/>
          <w:szCs w:val="24"/>
        </w:rPr>
      </w:pPr>
      <w:r>
        <w:rPr>
          <w:rFonts w:ascii="Arial" w:hAnsi="Arial" w:cs="Arial"/>
          <w:bCs/>
          <w:sz w:val="24"/>
          <w:szCs w:val="24"/>
        </w:rPr>
        <w:t>No</w:t>
      </w:r>
      <w:r w:rsidRPr="008D5259">
        <w:rPr>
          <w:rFonts w:ascii="Arial" w:hAnsi="Arial" w:cs="Arial"/>
          <w:bCs/>
          <w:sz w:val="24"/>
          <w:szCs w:val="24"/>
        </w:rPr>
        <w:t xml:space="preserve"> exercício de </w:t>
      </w:r>
      <w:r>
        <w:rPr>
          <w:rFonts w:ascii="Arial" w:hAnsi="Arial" w:cs="Arial"/>
          <w:bCs/>
          <w:sz w:val="24"/>
          <w:szCs w:val="24"/>
        </w:rPr>
        <w:t>2019 houve a inscrição de R$ 1.276,03, em restos a pagar processados.</w:t>
      </w:r>
    </w:p>
    <w:p w:rsidR="00EF0CDA" w:rsidRDefault="00EF0CDA" w:rsidP="00232709">
      <w:pPr>
        <w:spacing w:after="0" w:line="240" w:lineRule="auto"/>
      </w:pPr>
    </w:p>
    <w:p w:rsidR="008A3226" w:rsidRPr="0093664A" w:rsidRDefault="008603F3" w:rsidP="0093664A">
      <w:pPr>
        <w:spacing w:after="0" w:line="240" w:lineRule="auto"/>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NOTAS EXPLICATIVAS À DEMONSTRAÇÃO DOS FLUXOS DE CAIXA</w:t>
      </w:r>
    </w:p>
    <w:p w:rsidR="00C96B74" w:rsidRDefault="00C96B74" w:rsidP="00232709">
      <w:pPr>
        <w:spacing w:after="0" w:line="240" w:lineRule="auto"/>
        <w:rPr>
          <w:rFonts w:ascii="Arial" w:hAnsi="Arial" w:cs="Arial"/>
          <w:b/>
          <w:bCs/>
          <w:color w:val="215868" w:themeColor="accent5" w:themeShade="80"/>
          <w:sz w:val="24"/>
          <w:szCs w:val="24"/>
        </w:rPr>
      </w:pPr>
    </w:p>
    <w:p w:rsidR="008C3C56" w:rsidRDefault="008C3C56" w:rsidP="00232709">
      <w:pPr>
        <w:spacing w:after="0" w:line="240" w:lineRule="auto"/>
        <w:rPr>
          <w:rFonts w:ascii="Arial" w:hAnsi="Arial" w:cs="Arial"/>
          <w:b/>
          <w:bCs/>
          <w:color w:val="215868" w:themeColor="accent5" w:themeShade="80"/>
          <w:sz w:val="24"/>
          <w:szCs w:val="24"/>
        </w:rPr>
      </w:pPr>
    </w:p>
    <w:tbl>
      <w:tblPr>
        <w:tblStyle w:val="TabeladeGrade4-nfase52"/>
        <w:tblW w:w="8882" w:type="dxa"/>
        <w:tblInd w:w="108" w:type="dxa"/>
        <w:tblLook w:val="04A0" w:firstRow="1" w:lastRow="0" w:firstColumn="1" w:lastColumn="0" w:noHBand="0" w:noVBand="1"/>
      </w:tblPr>
      <w:tblGrid>
        <w:gridCol w:w="4282"/>
        <w:gridCol w:w="1559"/>
        <w:gridCol w:w="1433"/>
        <w:gridCol w:w="1608"/>
      </w:tblGrid>
      <w:tr w:rsidR="00471C3C" w:rsidRPr="00B56B08" w:rsidTr="007B30E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82" w:type="dxa"/>
          </w:tcPr>
          <w:p w:rsidR="00471C3C" w:rsidRPr="007B30E3" w:rsidRDefault="007B30E3" w:rsidP="007B30E3">
            <w:pPr>
              <w:autoSpaceDE w:val="0"/>
              <w:autoSpaceDN w:val="0"/>
              <w:adjustRightInd w:val="0"/>
              <w:rPr>
                <w:rFonts w:ascii="Arial" w:hAnsi="Arial" w:cs="Arial"/>
                <w:sz w:val="20"/>
              </w:rPr>
            </w:pPr>
            <w:r w:rsidRPr="007B30E3">
              <w:rPr>
                <w:rFonts w:ascii="Arial" w:hAnsi="Arial" w:cs="Arial"/>
                <w:sz w:val="20"/>
              </w:rPr>
              <w:t>TIPO DE FLUXO</w:t>
            </w:r>
          </w:p>
        </w:tc>
        <w:tc>
          <w:tcPr>
            <w:tcW w:w="1559" w:type="dxa"/>
          </w:tcPr>
          <w:p w:rsidR="00471C3C" w:rsidRPr="007B30E3" w:rsidRDefault="007B30E3"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B30E3">
              <w:rPr>
                <w:rFonts w:ascii="Arial" w:hAnsi="Arial" w:cs="Arial"/>
                <w:sz w:val="20"/>
              </w:rPr>
              <w:t>2019</w:t>
            </w:r>
          </w:p>
        </w:tc>
        <w:tc>
          <w:tcPr>
            <w:tcW w:w="1433" w:type="dxa"/>
          </w:tcPr>
          <w:p w:rsidR="00471C3C" w:rsidRPr="007B30E3" w:rsidRDefault="007B30E3"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B30E3">
              <w:rPr>
                <w:rFonts w:ascii="Arial" w:hAnsi="Arial" w:cs="Arial"/>
                <w:sz w:val="20"/>
              </w:rPr>
              <w:t>2018</w:t>
            </w:r>
          </w:p>
        </w:tc>
        <w:tc>
          <w:tcPr>
            <w:tcW w:w="1608" w:type="dxa"/>
          </w:tcPr>
          <w:p w:rsidR="00471C3C" w:rsidRPr="007B30E3" w:rsidRDefault="007B30E3" w:rsidP="007B30E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B30E3">
              <w:rPr>
                <w:rFonts w:ascii="Arial" w:hAnsi="Arial" w:cs="Arial"/>
                <w:sz w:val="20"/>
              </w:rPr>
              <w:t>VARIAÇÃO</w:t>
            </w:r>
          </w:p>
        </w:tc>
      </w:tr>
      <w:tr w:rsidR="00471C3C" w:rsidRPr="00B56B08"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82" w:type="dxa"/>
          </w:tcPr>
          <w:p w:rsidR="00471C3C" w:rsidRPr="007B30E3" w:rsidRDefault="00471C3C" w:rsidP="00471C3C">
            <w:pPr>
              <w:autoSpaceDE w:val="0"/>
              <w:autoSpaceDN w:val="0"/>
              <w:adjustRightInd w:val="0"/>
              <w:rPr>
                <w:rFonts w:ascii="Arial" w:hAnsi="Arial" w:cs="Arial"/>
                <w:b w:val="0"/>
                <w:sz w:val="20"/>
              </w:rPr>
            </w:pPr>
            <w:r w:rsidRPr="007B30E3">
              <w:rPr>
                <w:rFonts w:ascii="Arial" w:hAnsi="Arial" w:cs="Arial"/>
                <w:b w:val="0"/>
                <w:sz w:val="20"/>
              </w:rPr>
              <w:t>Fluxo de Caixa das Atividades Operacionais</w:t>
            </w:r>
          </w:p>
        </w:tc>
        <w:tc>
          <w:tcPr>
            <w:tcW w:w="1559" w:type="dxa"/>
          </w:tcPr>
          <w:p w:rsidR="00471C3C" w:rsidRPr="00FC0570" w:rsidRDefault="00FC0570" w:rsidP="00471C3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C0570">
              <w:rPr>
                <w:rFonts w:ascii="Arial" w:hAnsi="Arial" w:cs="Arial"/>
                <w:sz w:val="20"/>
              </w:rPr>
              <w:t>345.017,46</w:t>
            </w:r>
          </w:p>
        </w:tc>
        <w:tc>
          <w:tcPr>
            <w:tcW w:w="1433" w:type="dxa"/>
          </w:tcPr>
          <w:p w:rsidR="00471C3C" w:rsidRPr="007B30E3" w:rsidRDefault="00D269FC" w:rsidP="00471C3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B30E3">
              <w:rPr>
                <w:rFonts w:ascii="Arial" w:hAnsi="Arial" w:cs="Arial"/>
                <w:sz w:val="20"/>
              </w:rPr>
              <w:t>138.951,56</w:t>
            </w:r>
          </w:p>
        </w:tc>
        <w:tc>
          <w:tcPr>
            <w:tcW w:w="1608" w:type="dxa"/>
          </w:tcPr>
          <w:p w:rsidR="0012699A" w:rsidRPr="007B30E3" w:rsidRDefault="00FC0570" w:rsidP="0012699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206.065,90</w:t>
            </w:r>
          </w:p>
          <w:p w:rsidR="00471C3C" w:rsidRPr="007B30E3" w:rsidRDefault="00471C3C" w:rsidP="00471C3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71C3C" w:rsidRPr="00B56B08" w:rsidTr="007B30E3">
        <w:trPr>
          <w:trHeight w:val="255"/>
        </w:trPr>
        <w:tc>
          <w:tcPr>
            <w:cnfStyle w:val="001000000000" w:firstRow="0" w:lastRow="0" w:firstColumn="1" w:lastColumn="0" w:oddVBand="0" w:evenVBand="0" w:oddHBand="0" w:evenHBand="0" w:firstRowFirstColumn="0" w:firstRowLastColumn="0" w:lastRowFirstColumn="0" w:lastRowLastColumn="0"/>
            <w:tcW w:w="4282" w:type="dxa"/>
          </w:tcPr>
          <w:p w:rsidR="00471C3C" w:rsidRPr="007B30E3" w:rsidRDefault="00471C3C" w:rsidP="00471C3C">
            <w:pPr>
              <w:autoSpaceDE w:val="0"/>
              <w:autoSpaceDN w:val="0"/>
              <w:adjustRightInd w:val="0"/>
              <w:rPr>
                <w:rFonts w:ascii="Arial" w:hAnsi="Arial" w:cs="Arial"/>
                <w:b w:val="0"/>
                <w:sz w:val="20"/>
              </w:rPr>
            </w:pPr>
            <w:r w:rsidRPr="007B30E3">
              <w:rPr>
                <w:rFonts w:ascii="Arial" w:hAnsi="Arial" w:cs="Arial"/>
                <w:b w:val="0"/>
                <w:sz w:val="20"/>
              </w:rPr>
              <w:t>Fluxo de Caixa das Atividades de Investimento</w:t>
            </w:r>
          </w:p>
        </w:tc>
        <w:tc>
          <w:tcPr>
            <w:tcW w:w="1559" w:type="dxa"/>
          </w:tcPr>
          <w:p w:rsidR="00471C3C" w:rsidRPr="00FC0570" w:rsidRDefault="00FC0570" w:rsidP="0012699A">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C0570">
              <w:rPr>
                <w:rFonts w:ascii="Arial" w:hAnsi="Arial" w:cs="Arial"/>
                <w:sz w:val="20"/>
              </w:rPr>
              <w:t>-403.585,33</w:t>
            </w:r>
          </w:p>
        </w:tc>
        <w:tc>
          <w:tcPr>
            <w:tcW w:w="1433" w:type="dxa"/>
          </w:tcPr>
          <w:p w:rsidR="00471C3C" w:rsidRPr="007B30E3" w:rsidRDefault="00D269FC" w:rsidP="00471C3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B30E3">
              <w:rPr>
                <w:rFonts w:ascii="Arial" w:hAnsi="Arial" w:cs="Arial"/>
                <w:sz w:val="20"/>
              </w:rPr>
              <w:t>-259.628,93</w:t>
            </w:r>
          </w:p>
        </w:tc>
        <w:tc>
          <w:tcPr>
            <w:tcW w:w="1608" w:type="dxa"/>
          </w:tcPr>
          <w:p w:rsidR="0012699A" w:rsidRPr="007B30E3" w:rsidRDefault="00FC0570" w:rsidP="0012699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-143.956,40</w:t>
            </w:r>
          </w:p>
          <w:p w:rsidR="00471C3C" w:rsidRPr="007B30E3" w:rsidRDefault="00471C3C" w:rsidP="00471C3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71C3C" w:rsidRPr="00B56B08" w:rsidTr="007B30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82" w:type="dxa"/>
          </w:tcPr>
          <w:p w:rsidR="00471C3C" w:rsidRPr="007B30E3" w:rsidRDefault="00471C3C" w:rsidP="00471C3C">
            <w:pPr>
              <w:autoSpaceDE w:val="0"/>
              <w:autoSpaceDN w:val="0"/>
              <w:adjustRightInd w:val="0"/>
              <w:rPr>
                <w:rFonts w:ascii="Arial" w:hAnsi="Arial" w:cs="Arial"/>
                <w:b w:val="0"/>
                <w:sz w:val="20"/>
              </w:rPr>
            </w:pPr>
            <w:r w:rsidRPr="007B30E3">
              <w:rPr>
                <w:rFonts w:ascii="Arial" w:hAnsi="Arial" w:cs="Arial"/>
                <w:b w:val="0"/>
                <w:sz w:val="20"/>
              </w:rPr>
              <w:t>Fluxo de Caixa das Atividades de Financiamento</w:t>
            </w:r>
          </w:p>
        </w:tc>
        <w:tc>
          <w:tcPr>
            <w:tcW w:w="1559" w:type="dxa"/>
          </w:tcPr>
          <w:p w:rsidR="00471C3C" w:rsidRPr="00FC0570" w:rsidRDefault="0012699A" w:rsidP="00A54405">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C0570">
              <w:rPr>
                <w:rFonts w:ascii="Arial" w:hAnsi="Arial" w:cs="Arial"/>
                <w:sz w:val="20"/>
              </w:rPr>
              <w:t>100.000,00</w:t>
            </w:r>
          </w:p>
        </w:tc>
        <w:tc>
          <w:tcPr>
            <w:tcW w:w="1433" w:type="dxa"/>
          </w:tcPr>
          <w:p w:rsidR="00471C3C" w:rsidRPr="007B30E3" w:rsidRDefault="00D269FC" w:rsidP="00471C3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B30E3">
              <w:rPr>
                <w:rFonts w:ascii="Arial" w:hAnsi="Arial" w:cs="Arial"/>
                <w:sz w:val="20"/>
              </w:rPr>
              <w:t>225.179,31</w:t>
            </w:r>
          </w:p>
        </w:tc>
        <w:tc>
          <w:tcPr>
            <w:tcW w:w="1608" w:type="dxa"/>
          </w:tcPr>
          <w:p w:rsidR="00471C3C" w:rsidRPr="007B30E3" w:rsidRDefault="0012699A" w:rsidP="0012699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B30E3">
              <w:rPr>
                <w:rFonts w:ascii="Arial" w:hAnsi="Arial" w:cs="Arial"/>
                <w:sz w:val="20"/>
              </w:rPr>
              <w:t>-125.179,31</w:t>
            </w:r>
          </w:p>
        </w:tc>
      </w:tr>
    </w:tbl>
    <w:p w:rsidR="00467EE2" w:rsidRDefault="00467EE2" w:rsidP="004513FF">
      <w:pPr>
        <w:spacing w:after="0" w:line="240" w:lineRule="auto"/>
        <w:rPr>
          <w:rFonts w:ascii="Arial" w:hAnsi="Arial" w:cs="Arial"/>
          <w:bCs/>
          <w:color w:val="215868" w:themeColor="accent5" w:themeShade="80"/>
          <w:sz w:val="24"/>
          <w:szCs w:val="24"/>
        </w:rPr>
      </w:pPr>
    </w:p>
    <w:p w:rsidR="006A4AA6" w:rsidRDefault="006A4AA6" w:rsidP="004513FF">
      <w:pPr>
        <w:spacing w:after="0" w:line="240" w:lineRule="auto"/>
        <w:rPr>
          <w:rFonts w:ascii="Arial" w:hAnsi="Arial" w:cs="Arial"/>
          <w:bCs/>
          <w:color w:val="215868" w:themeColor="accent5" w:themeShade="80"/>
          <w:sz w:val="24"/>
          <w:szCs w:val="24"/>
        </w:rPr>
      </w:pPr>
    </w:p>
    <w:p w:rsidR="00C96B74" w:rsidRPr="0029574D" w:rsidRDefault="00903CFB" w:rsidP="003A6484">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23 </w:t>
      </w:r>
      <w:r w:rsidR="00C96B74" w:rsidRPr="0029574D">
        <w:rPr>
          <w:rFonts w:ascii="Arial" w:hAnsi="Arial" w:cs="Arial"/>
          <w:b/>
          <w:bCs/>
          <w:color w:val="215868" w:themeColor="accent5" w:themeShade="80"/>
          <w:sz w:val="24"/>
          <w:szCs w:val="24"/>
        </w:rPr>
        <w:t>Análise Horizontal</w:t>
      </w:r>
      <w:r w:rsidR="00727D8C" w:rsidRPr="0029574D">
        <w:rPr>
          <w:rFonts w:ascii="Arial" w:hAnsi="Arial" w:cs="Arial"/>
          <w:b/>
          <w:bCs/>
          <w:color w:val="215868" w:themeColor="accent5" w:themeShade="80"/>
          <w:sz w:val="24"/>
          <w:szCs w:val="24"/>
        </w:rPr>
        <w:t xml:space="preserve"> do Fluxo de Caixa das Atividades Operacionais</w:t>
      </w:r>
    </w:p>
    <w:p w:rsidR="0029574D" w:rsidRPr="00FC0570" w:rsidRDefault="00577E79" w:rsidP="00233B44">
      <w:pPr>
        <w:jc w:val="both"/>
        <w:rPr>
          <w:rFonts w:ascii="Calibri" w:hAnsi="Calibri" w:cs="Calibri"/>
        </w:rPr>
      </w:pPr>
      <w:r w:rsidRPr="00FC0570">
        <w:rPr>
          <w:rFonts w:ascii="Arial" w:hAnsi="Arial" w:cs="Arial"/>
          <w:sz w:val="24"/>
          <w:szCs w:val="24"/>
        </w:rPr>
        <w:t xml:space="preserve">O Fluxo de Caixa das Atividades Operacionais compreende os ingressos e os desembolsos </w:t>
      </w:r>
      <w:r w:rsidR="00233B44">
        <w:rPr>
          <w:rFonts w:ascii="Arial" w:hAnsi="Arial" w:cs="Arial"/>
          <w:sz w:val="24"/>
          <w:szCs w:val="24"/>
        </w:rPr>
        <w:t xml:space="preserve">relacionados com a ação pública. Os ingressos por receitas operacionais somaram R$ 4.049.299,90 e os desembolsos, envolvendo despesa com pessoal e outros desembolsos operacionais somaram R$ 3.704.282,44. O </w:t>
      </w:r>
      <w:r w:rsidR="00233B44" w:rsidRPr="00FC0570">
        <w:rPr>
          <w:rFonts w:ascii="Arial" w:hAnsi="Arial" w:cs="Arial"/>
          <w:sz w:val="24"/>
          <w:szCs w:val="24"/>
        </w:rPr>
        <w:t>exercício de 2019 apresentou o montante positivo de R$ 345.017,46, aumentando a capacidade de pagamento da entidade</w:t>
      </w:r>
      <w:r w:rsidR="00233B44">
        <w:rPr>
          <w:rFonts w:ascii="Arial" w:hAnsi="Arial" w:cs="Arial"/>
          <w:sz w:val="24"/>
          <w:szCs w:val="24"/>
        </w:rPr>
        <w:t xml:space="preserve"> em R$ 206.065,90.</w:t>
      </w:r>
    </w:p>
    <w:p w:rsidR="00A54405" w:rsidRPr="009327F0" w:rsidRDefault="00A54405" w:rsidP="003A6484">
      <w:pPr>
        <w:spacing w:after="0" w:line="240" w:lineRule="auto"/>
        <w:jc w:val="both"/>
        <w:rPr>
          <w:rFonts w:ascii="Arial" w:hAnsi="Arial" w:cs="Arial"/>
          <w:color w:val="FF0000"/>
          <w:sz w:val="24"/>
          <w:szCs w:val="24"/>
        </w:rPr>
      </w:pPr>
    </w:p>
    <w:p w:rsidR="00727D8C" w:rsidRPr="00FC0570" w:rsidRDefault="00903CFB" w:rsidP="003A6484">
      <w:pPr>
        <w:spacing w:after="0" w:line="240" w:lineRule="auto"/>
        <w:rPr>
          <w:rFonts w:ascii="Arial" w:hAnsi="Arial" w:cs="Arial"/>
          <w:b/>
          <w:bCs/>
          <w:color w:val="215868" w:themeColor="accent5" w:themeShade="80"/>
          <w:sz w:val="24"/>
          <w:szCs w:val="24"/>
        </w:rPr>
      </w:pPr>
      <w:r w:rsidRPr="00FC0570">
        <w:rPr>
          <w:rFonts w:ascii="Arial" w:hAnsi="Arial" w:cs="Arial"/>
          <w:b/>
          <w:bCs/>
          <w:color w:val="215868" w:themeColor="accent5" w:themeShade="80"/>
          <w:sz w:val="24"/>
          <w:szCs w:val="24"/>
        </w:rPr>
        <w:t xml:space="preserve">24 </w:t>
      </w:r>
      <w:r w:rsidR="00727D8C" w:rsidRPr="00FC0570">
        <w:rPr>
          <w:rFonts w:ascii="Arial" w:hAnsi="Arial" w:cs="Arial"/>
          <w:b/>
          <w:bCs/>
          <w:color w:val="215868" w:themeColor="accent5" w:themeShade="80"/>
          <w:sz w:val="24"/>
          <w:szCs w:val="24"/>
        </w:rPr>
        <w:t>Análise Horizontal do Fluxo de Caixa das Atividades de Investimento</w:t>
      </w:r>
    </w:p>
    <w:p w:rsidR="00BB677A" w:rsidRPr="00FC0570" w:rsidRDefault="00DE48AB" w:rsidP="00BB677A">
      <w:pPr>
        <w:spacing w:after="0" w:line="240" w:lineRule="auto"/>
        <w:jc w:val="both"/>
        <w:rPr>
          <w:rFonts w:ascii="Arial" w:hAnsi="Arial" w:cs="Arial"/>
          <w:sz w:val="24"/>
          <w:szCs w:val="24"/>
        </w:rPr>
      </w:pPr>
      <w:r w:rsidRPr="00FC0570">
        <w:rPr>
          <w:rFonts w:ascii="Arial" w:hAnsi="Arial" w:cs="Arial"/>
          <w:sz w:val="24"/>
          <w:szCs w:val="24"/>
        </w:rPr>
        <w:t xml:space="preserve">O Fluxo de Caixa das Atividades de Investimento inclui os recursos relacionados à aquisição e à alienação de ativo não circulante, adiantamentos ou amortização de empréstimos concedidos. </w:t>
      </w:r>
      <w:r w:rsidR="00A54405" w:rsidRPr="00FC0570">
        <w:rPr>
          <w:rFonts w:ascii="Arial" w:hAnsi="Arial" w:cs="Arial"/>
          <w:sz w:val="24"/>
          <w:szCs w:val="24"/>
        </w:rPr>
        <w:t xml:space="preserve"> O resultado de 201</w:t>
      </w:r>
      <w:r w:rsidR="00D878B5" w:rsidRPr="00FC0570">
        <w:rPr>
          <w:rFonts w:ascii="Arial" w:hAnsi="Arial" w:cs="Arial"/>
          <w:sz w:val="24"/>
          <w:szCs w:val="24"/>
        </w:rPr>
        <w:t>9</w:t>
      </w:r>
      <w:r w:rsidR="00A54405" w:rsidRPr="00FC0570">
        <w:rPr>
          <w:rFonts w:ascii="Arial" w:hAnsi="Arial" w:cs="Arial"/>
          <w:sz w:val="24"/>
          <w:szCs w:val="24"/>
        </w:rPr>
        <w:t xml:space="preserve"> foi negativo de R$ </w:t>
      </w:r>
      <w:r w:rsidR="00D878B5" w:rsidRPr="00FC0570">
        <w:rPr>
          <w:rFonts w:ascii="Arial" w:hAnsi="Arial" w:cs="Arial"/>
          <w:sz w:val="24"/>
          <w:szCs w:val="24"/>
        </w:rPr>
        <w:t>40</w:t>
      </w:r>
      <w:r w:rsidR="00FC0570" w:rsidRPr="00FC0570">
        <w:rPr>
          <w:rFonts w:ascii="Arial" w:hAnsi="Arial" w:cs="Arial"/>
          <w:sz w:val="24"/>
          <w:szCs w:val="24"/>
        </w:rPr>
        <w:t>3.585,33</w:t>
      </w:r>
      <w:r w:rsidR="00A54405" w:rsidRPr="00FC0570">
        <w:rPr>
          <w:rFonts w:ascii="Arial" w:hAnsi="Arial" w:cs="Arial"/>
          <w:sz w:val="24"/>
          <w:szCs w:val="24"/>
        </w:rPr>
        <w:t xml:space="preserve">, </w:t>
      </w:r>
      <w:r w:rsidR="00C66D6B" w:rsidRPr="00FC0570">
        <w:rPr>
          <w:rFonts w:ascii="Arial" w:hAnsi="Arial" w:cs="Arial"/>
          <w:sz w:val="24"/>
          <w:szCs w:val="24"/>
        </w:rPr>
        <w:t>uma variação de R$ -14</w:t>
      </w:r>
      <w:r w:rsidR="00FC0570" w:rsidRPr="00FC0570">
        <w:rPr>
          <w:rFonts w:ascii="Arial" w:hAnsi="Arial" w:cs="Arial"/>
          <w:sz w:val="24"/>
          <w:szCs w:val="24"/>
        </w:rPr>
        <w:t>3.956,40</w:t>
      </w:r>
      <w:r w:rsidR="00C66D6B" w:rsidRPr="00FC0570">
        <w:rPr>
          <w:rFonts w:ascii="Arial" w:hAnsi="Arial" w:cs="Arial"/>
          <w:sz w:val="24"/>
          <w:szCs w:val="24"/>
        </w:rPr>
        <w:t xml:space="preserve"> em relação a 2018, aumentando o endividamento da entidade</w:t>
      </w:r>
      <w:r w:rsidR="00233B44">
        <w:rPr>
          <w:rFonts w:ascii="Arial" w:hAnsi="Arial" w:cs="Arial"/>
          <w:sz w:val="24"/>
          <w:szCs w:val="24"/>
        </w:rPr>
        <w:t>. Não houveram ingressos, e o desembolso foi de R$ 403.585,33, pela aquisição de ativos não circulantes.</w:t>
      </w:r>
    </w:p>
    <w:p w:rsidR="00233B44" w:rsidRDefault="00233B44" w:rsidP="003A6484">
      <w:pPr>
        <w:spacing w:after="0" w:line="240" w:lineRule="auto"/>
        <w:jc w:val="both"/>
        <w:rPr>
          <w:rFonts w:ascii="Arial" w:hAnsi="Arial" w:cs="Arial"/>
          <w:b/>
          <w:color w:val="FF0000"/>
          <w:sz w:val="24"/>
          <w:szCs w:val="24"/>
        </w:rPr>
      </w:pPr>
    </w:p>
    <w:p w:rsidR="00233B44" w:rsidRPr="009327F0" w:rsidRDefault="00233B44" w:rsidP="003A6484">
      <w:pPr>
        <w:spacing w:after="0" w:line="240" w:lineRule="auto"/>
        <w:jc w:val="both"/>
        <w:rPr>
          <w:rFonts w:ascii="Arial" w:hAnsi="Arial" w:cs="Arial"/>
          <w:b/>
          <w:color w:val="FF0000"/>
          <w:sz w:val="24"/>
          <w:szCs w:val="24"/>
        </w:rPr>
      </w:pPr>
    </w:p>
    <w:p w:rsidR="00727D8C" w:rsidRPr="00FC0570" w:rsidRDefault="00903CFB" w:rsidP="003A6484">
      <w:pPr>
        <w:spacing w:after="0" w:line="240" w:lineRule="auto"/>
        <w:rPr>
          <w:rFonts w:ascii="Arial" w:hAnsi="Arial" w:cs="Arial"/>
          <w:b/>
          <w:bCs/>
          <w:color w:val="215868" w:themeColor="accent5" w:themeShade="80"/>
          <w:sz w:val="24"/>
          <w:szCs w:val="24"/>
        </w:rPr>
      </w:pPr>
      <w:r w:rsidRPr="00FC0570">
        <w:rPr>
          <w:rFonts w:ascii="Arial" w:hAnsi="Arial" w:cs="Arial"/>
          <w:b/>
          <w:bCs/>
          <w:color w:val="215868" w:themeColor="accent5" w:themeShade="80"/>
          <w:sz w:val="24"/>
          <w:szCs w:val="24"/>
        </w:rPr>
        <w:t xml:space="preserve">25 </w:t>
      </w:r>
      <w:r w:rsidR="00727D8C" w:rsidRPr="00FC0570">
        <w:rPr>
          <w:rFonts w:ascii="Arial" w:hAnsi="Arial" w:cs="Arial"/>
          <w:b/>
          <w:bCs/>
          <w:color w:val="215868" w:themeColor="accent5" w:themeShade="80"/>
          <w:sz w:val="24"/>
          <w:szCs w:val="24"/>
        </w:rPr>
        <w:t>Análise Horizontal do Fluxo de Caixa das Atividades de Financiamento</w:t>
      </w:r>
    </w:p>
    <w:p w:rsidR="00BB677A" w:rsidRPr="00FC0570" w:rsidRDefault="00760257" w:rsidP="00BB677A">
      <w:pPr>
        <w:spacing w:after="0" w:line="240" w:lineRule="auto"/>
        <w:jc w:val="both"/>
        <w:rPr>
          <w:rFonts w:ascii="Arial" w:hAnsi="Arial" w:cs="Arial"/>
          <w:sz w:val="24"/>
          <w:szCs w:val="24"/>
        </w:rPr>
      </w:pPr>
      <w:r w:rsidRPr="00FC0570">
        <w:rPr>
          <w:rFonts w:ascii="Arial" w:hAnsi="Arial" w:cs="Arial"/>
          <w:sz w:val="24"/>
          <w:szCs w:val="24"/>
        </w:rPr>
        <w:t>O Fluxo de Caixa das Atividades de Financiamento Inclui os recursos relacionados à captação e à amortização de empréstimos e financiamentos, apresentando no exercício de 201</w:t>
      </w:r>
      <w:r w:rsidR="0086641C" w:rsidRPr="00FC0570">
        <w:rPr>
          <w:rFonts w:ascii="Arial" w:hAnsi="Arial" w:cs="Arial"/>
          <w:sz w:val="24"/>
          <w:szCs w:val="24"/>
        </w:rPr>
        <w:t>9</w:t>
      </w:r>
      <w:r w:rsidRPr="00FC0570">
        <w:rPr>
          <w:rFonts w:ascii="Arial" w:hAnsi="Arial" w:cs="Arial"/>
          <w:sz w:val="24"/>
          <w:szCs w:val="24"/>
        </w:rPr>
        <w:t xml:space="preserve"> o montante de R$ </w:t>
      </w:r>
      <w:r w:rsidR="0086641C" w:rsidRPr="00FC0570">
        <w:rPr>
          <w:rFonts w:ascii="Arial" w:hAnsi="Arial" w:cs="Arial"/>
          <w:sz w:val="24"/>
          <w:szCs w:val="24"/>
        </w:rPr>
        <w:t>100.000,00</w:t>
      </w:r>
      <w:r w:rsidRPr="00FC0570">
        <w:rPr>
          <w:rFonts w:ascii="Arial" w:hAnsi="Arial" w:cs="Arial"/>
          <w:sz w:val="24"/>
          <w:szCs w:val="24"/>
        </w:rPr>
        <w:t>, referente transferência de capital recebidas.</w:t>
      </w:r>
      <w:r w:rsidR="00BB677A" w:rsidRPr="00FC0570">
        <w:rPr>
          <w:rFonts w:ascii="Arial" w:hAnsi="Arial" w:cs="Arial"/>
          <w:sz w:val="24"/>
          <w:szCs w:val="24"/>
        </w:rPr>
        <w:t xml:space="preserve"> </w:t>
      </w:r>
      <w:r w:rsidR="001D56DC" w:rsidRPr="00FC0570">
        <w:rPr>
          <w:rFonts w:ascii="Arial" w:hAnsi="Arial" w:cs="Arial"/>
          <w:sz w:val="24"/>
          <w:szCs w:val="24"/>
        </w:rPr>
        <w:t xml:space="preserve">Mesmo sendo positivo, o resultado de 2019 teve variação negativa de </w:t>
      </w:r>
      <w:r w:rsidR="009E6DB4" w:rsidRPr="00FC0570">
        <w:rPr>
          <w:rFonts w:ascii="Arial" w:hAnsi="Arial" w:cs="Arial"/>
          <w:sz w:val="24"/>
          <w:szCs w:val="24"/>
        </w:rPr>
        <w:t>R$ 125.179,31 em relação a 2018.</w:t>
      </w:r>
    </w:p>
    <w:p w:rsidR="00BB677A" w:rsidRDefault="00BB677A" w:rsidP="003A6484">
      <w:pPr>
        <w:spacing w:after="0" w:line="240" w:lineRule="auto"/>
        <w:rPr>
          <w:rFonts w:ascii="Arial" w:hAnsi="Arial" w:cs="Arial"/>
          <w:color w:val="FF0000"/>
          <w:sz w:val="24"/>
          <w:szCs w:val="24"/>
        </w:rPr>
      </w:pPr>
    </w:p>
    <w:p w:rsidR="00004B40" w:rsidRPr="009327F0" w:rsidRDefault="00004B40" w:rsidP="003A6484">
      <w:pPr>
        <w:spacing w:after="0" w:line="240" w:lineRule="auto"/>
        <w:rPr>
          <w:rFonts w:ascii="Arial" w:hAnsi="Arial" w:cs="Arial"/>
          <w:color w:val="FF0000"/>
          <w:sz w:val="24"/>
          <w:szCs w:val="24"/>
        </w:rPr>
      </w:pPr>
    </w:p>
    <w:p w:rsidR="00C96B74" w:rsidRPr="0029574D" w:rsidRDefault="00C96B74" w:rsidP="003A6484">
      <w:pPr>
        <w:spacing w:after="0" w:line="240" w:lineRule="auto"/>
        <w:rPr>
          <w:rFonts w:ascii="Arial" w:hAnsi="Arial" w:cs="Arial"/>
          <w:b/>
          <w:bCs/>
          <w:color w:val="215868" w:themeColor="accent5" w:themeShade="80"/>
          <w:sz w:val="24"/>
          <w:szCs w:val="24"/>
        </w:rPr>
      </w:pPr>
      <w:r w:rsidRPr="0029574D">
        <w:rPr>
          <w:rFonts w:ascii="Arial" w:hAnsi="Arial" w:cs="Arial"/>
          <w:b/>
          <w:bCs/>
          <w:color w:val="215868" w:themeColor="accent5" w:themeShade="80"/>
          <w:sz w:val="24"/>
          <w:szCs w:val="24"/>
        </w:rPr>
        <w:t>Retenções</w:t>
      </w:r>
    </w:p>
    <w:p w:rsidR="00C96B74" w:rsidRDefault="009E120F" w:rsidP="003A64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Fundo Municipal de Saúde</w:t>
      </w:r>
      <w:r w:rsidR="00C96B74" w:rsidRPr="007C5270">
        <w:rPr>
          <w:rFonts w:ascii="Arial" w:hAnsi="Arial" w:cs="Arial"/>
          <w:sz w:val="24"/>
          <w:szCs w:val="24"/>
        </w:rPr>
        <w:t xml:space="preserve"> adota a política contábil de registro das retenções na conta crédito empenhado liquidado pago no momento da retenção</w:t>
      </w:r>
      <w:r w:rsidR="00C96B74">
        <w:rPr>
          <w:rFonts w:ascii="Arial" w:hAnsi="Arial" w:cs="Arial"/>
          <w:sz w:val="24"/>
          <w:szCs w:val="24"/>
        </w:rPr>
        <w:t xml:space="preserve">, ou seja, orçamentariamente na fase da liquidação da despesa, </w:t>
      </w:r>
      <w:r w:rsidR="00C96B74" w:rsidRPr="007C5270">
        <w:rPr>
          <w:rFonts w:ascii="Arial" w:hAnsi="Arial" w:cs="Arial"/>
          <w:sz w:val="24"/>
          <w:szCs w:val="24"/>
        </w:rPr>
        <w:t>pois considera-se que</w:t>
      </w:r>
      <w:r w:rsidR="00C96B74">
        <w:rPr>
          <w:rFonts w:ascii="Arial" w:hAnsi="Arial" w:cs="Arial"/>
          <w:sz w:val="24"/>
          <w:szCs w:val="24"/>
        </w:rPr>
        <w:t xml:space="preserve"> nesse momento</w:t>
      </w:r>
      <w:r w:rsidR="00C96B74" w:rsidRPr="007C5270">
        <w:rPr>
          <w:rFonts w:ascii="Arial" w:hAnsi="Arial" w:cs="Arial"/>
          <w:sz w:val="24"/>
          <w:szCs w:val="24"/>
        </w:rPr>
        <w:t xml:space="preserve"> a obrigação com o credor da despesa foi totalmente quitada, restando uma obrigação com um terceiro</w:t>
      </w:r>
      <w:r w:rsidR="00C96B74">
        <w:rPr>
          <w:rFonts w:ascii="Arial" w:hAnsi="Arial" w:cs="Arial"/>
          <w:sz w:val="24"/>
          <w:szCs w:val="24"/>
        </w:rPr>
        <w:t>,</w:t>
      </w:r>
      <w:r w:rsidR="00C96B74" w:rsidRPr="007C5270">
        <w:rPr>
          <w:rFonts w:ascii="Arial" w:hAnsi="Arial" w:cs="Arial"/>
          <w:sz w:val="24"/>
          <w:szCs w:val="24"/>
        </w:rPr>
        <w:t xml:space="preserve"> </w:t>
      </w:r>
      <w:r w:rsidR="00C96B74">
        <w:rPr>
          <w:rFonts w:ascii="Arial" w:hAnsi="Arial" w:cs="Arial"/>
          <w:sz w:val="24"/>
          <w:szCs w:val="24"/>
        </w:rPr>
        <w:t>conforme orientações do TCE/SC</w:t>
      </w:r>
      <w:r w:rsidR="00C96B74" w:rsidRPr="007C5270">
        <w:rPr>
          <w:rFonts w:ascii="Arial" w:hAnsi="Arial" w:cs="Arial"/>
          <w:sz w:val="24"/>
          <w:szCs w:val="24"/>
        </w:rPr>
        <w:t xml:space="preserve">. </w:t>
      </w:r>
    </w:p>
    <w:p w:rsidR="004A566D" w:rsidRDefault="004A566D" w:rsidP="00807064">
      <w:pPr>
        <w:autoSpaceDE w:val="0"/>
        <w:autoSpaceDN w:val="0"/>
        <w:adjustRightInd w:val="0"/>
        <w:spacing w:after="0" w:line="240" w:lineRule="auto"/>
        <w:jc w:val="both"/>
        <w:rPr>
          <w:rFonts w:ascii="Arial" w:hAnsi="Arial" w:cs="Arial"/>
          <w:sz w:val="24"/>
          <w:szCs w:val="24"/>
        </w:rPr>
      </w:pPr>
    </w:p>
    <w:p w:rsidR="009327F0" w:rsidRDefault="009327F0" w:rsidP="00807064">
      <w:pPr>
        <w:autoSpaceDE w:val="0"/>
        <w:autoSpaceDN w:val="0"/>
        <w:adjustRightInd w:val="0"/>
        <w:spacing w:after="0" w:line="240" w:lineRule="auto"/>
        <w:jc w:val="both"/>
        <w:rPr>
          <w:rFonts w:ascii="Arial" w:hAnsi="Arial" w:cs="Arial"/>
          <w:sz w:val="24"/>
          <w:szCs w:val="24"/>
        </w:rPr>
      </w:pPr>
    </w:p>
    <w:p w:rsidR="009327F0" w:rsidRDefault="009327F0" w:rsidP="00807064">
      <w:pPr>
        <w:autoSpaceDE w:val="0"/>
        <w:autoSpaceDN w:val="0"/>
        <w:adjustRightInd w:val="0"/>
        <w:spacing w:after="0" w:line="240" w:lineRule="auto"/>
        <w:jc w:val="both"/>
        <w:rPr>
          <w:rFonts w:ascii="Arial" w:hAnsi="Arial" w:cs="Arial"/>
          <w:sz w:val="24"/>
          <w:szCs w:val="24"/>
        </w:rPr>
      </w:pPr>
    </w:p>
    <w:p w:rsidR="009327F0" w:rsidRPr="008C3C56" w:rsidRDefault="009327F0" w:rsidP="00807064">
      <w:pPr>
        <w:autoSpaceDE w:val="0"/>
        <w:autoSpaceDN w:val="0"/>
        <w:adjustRightInd w:val="0"/>
        <w:spacing w:after="0" w:line="240" w:lineRule="auto"/>
        <w:jc w:val="both"/>
        <w:rPr>
          <w:rFonts w:ascii="Arial" w:hAnsi="Arial" w:cs="Arial"/>
          <w:sz w:val="24"/>
          <w:szCs w:val="24"/>
        </w:rPr>
      </w:pPr>
    </w:p>
    <w:p w:rsidR="008A3226" w:rsidRPr="008C3C56" w:rsidRDefault="008A3226" w:rsidP="0093664A">
      <w:pPr>
        <w:spacing w:after="0" w:line="240" w:lineRule="auto"/>
        <w:rPr>
          <w:rFonts w:ascii="Arial" w:hAnsi="Arial" w:cs="Arial"/>
          <w:b/>
          <w:bCs/>
          <w:color w:val="984806" w:themeColor="accent6" w:themeShade="80"/>
          <w:sz w:val="24"/>
          <w:szCs w:val="24"/>
        </w:rPr>
      </w:pPr>
      <w:r w:rsidRPr="008C3C56">
        <w:rPr>
          <w:rFonts w:ascii="Arial" w:hAnsi="Arial" w:cs="Arial"/>
          <w:b/>
          <w:bCs/>
          <w:color w:val="984806" w:themeColor="accent6" w:themeShade="80"/>
          <w:sz w:val="24"/>
          <w:szCs w:val="24"/>
        </w:rPr>
        <w:t xml:space="preserve"> </w:t>
      </w:r>
    </w:p>
    <w:p w:rsidR="008A3226" w:rsidRPr="0093664A" w:rsidRDefault="00A52284" w:rsidP="004116B9">
      <w:pPr>
        <w:spacing w:after="0" w:line="240" w:lineRule="auto"/>
        <w:jc w:val="both"/>
        <w:rPr>
          <w:rFonts w:ascii="Bahnschrift" w:hAnsi="Bahnschrift" w:cs="Arial"/>
          <w:b/>
          <w:bCs/>
          <w:color w:val="984806" w:themeColor="accent6" w:themeShade="80"/>
          <w:sz w:val="28"/>
          <w:szCs w:val="28"/>
        </w:rPr>
      </w:pPr>
      <w:r w:rsidRPr="0093664A">
        <w:rPr>
          <w:rFonts w:ascii="Bahnschrift" w:hAnsi="Bahnschrift" w:cs="Arial"/>
          <w:b/>
          <w:bCs/>
          <w:color w:val="984806" w:themeColor="accent6" w:themeShade="80"/>
          <w:sz w:val="28"/>
          <w:szCs w:val="28"/>
        </w:rPr>
        <w:t>NOTAS EXPLICATIVAS À DEMONSTRAÇÃO DAS MUTAÇÕES DO PATRIMÔNIO LÍQUIDO</w:t>
      </w:r>
    </w:p>
    <w:p w:rsidR="004A566D" w:rsidRPr="008C3C56" w:rsidRDefault="004A566D" w:rsidP="00807064">
      <w:pPr>
        <w:autoSpaceDE w:val="0"/>
        <w:autoSpaceDN w:val="0"/>
        <w:adjustRightInd w:val="0"/>
        <w:spacing w:after="0" w:line="240" w:lineRule="auto"/>
        <w:jc w:val="both"/>
        <w:rPr>
          <w:rFonts w:ascii="Arial" w:hAnsi="Arial" w:cs="Arial"/>
          <w:b/>
          <w:sz w:val="24"/>
          <w:szCs w:val="24"/>
        </w:rPr>
      </w:pPr>
    </w:p>
    <w:p w:rsidR="00467EE2" w:rsidRPr="008C3C56" w:rsidRDefault="00467EE2" w:rsidP="00807064">
      <w:pPr>
        <w:autoSpaceDE w:val="0"/>
        <w:autoSpaceDN w:val="0"/>
        <w:adjustRightInd w:val="0"/>
        <w:spacing w:after="0" w:line="240" w:lineRule="auto"/>
        <w:jc w:val="both"/>
        <w:rPr>
          <w:rFonts w:ascii="Arial" w:hAnsi="Arial" w:cs="Arial"/>
          <w:b/>
          <w:sz w:val="24"/>
          <w:szCs w:val="24"/>
        </w:rPr>
      </w:pPr>
    </w:p>
    <w:p w:rsidR="004A566D" w:rsidRPr="00A52284" w:rsidRDefault="00F66A3C" w:rsidP="00A52284">
      <w:pPr>
        <w:autoSpaceDE w:val="0"/>
        <w:autoSpaceDN w:val="0"/>
        <w:adjustRightInd w:val="0"/>
        <w:spacing w:after="0" w:line="240" w:lineRule="auto"/>
        <w:jc w:val="both"/>
        <w:rPr>
          <w:rFonts w:ascii="Arial" w:hAnsi="Arial" w:cs="Arial"/>
          <w:sz w:val="24"/>
          <w:szCs w:val="24"/>
        </w:rPr>
      </w:pPr>
      <w:r w:rsidRPr="00A52284">
        <w:rPr>
          <w:rFonts w:ascii="Arial" w:hAnsi="Arial" w:cs="Arial"/>
          <w:sz w:val="24"/>
          <w:szCs w:val="24"/>
        </w:rPr>
        <w:t>A Demonstração das Mutações no Patrimônio Líquido (DMPL) demonstrará a evolução (aumento ou redução) do patrimônio líquido da entidade durante um período.</w:t>
      </w:r>
    </w:p>
    <w:p w:rsidR="0005625A" w:rsidRPr="00A52284" w:rsidRDefault="0005625A" w:rsidP="00A52284">
      <w:pPr>
        <w:autoSpaceDE w:val="0"/>
        <w:autoSpaceDN w:val="0"/>
        <w:adjustRightInd w:val="0"/>
        <w:spacing w:after="0" w:line="240" w:lineRule="auto"/>
        <w:jc w:val="both"/>
        <w:rPr>
          <w:rFonts w:ascii="Arial" w:hAnsi="Arial" w:cs="Arial"/>
          <w:sz w:val="24"/>
          <w:szCs w:val="24"/>
        </w:rPr>
      </w:pPr>
    </w:p>
    <w:p w:rsidR="00F66A3C" w:rsidRPr="00A52284" w:rsidRDefault="00F66A3C" w:rsidP="00A52284">
      <w:pPr>
        <w:autoSpaceDE w:val="0"/>
        <w:autoSpaceDN w:val="0"/>
        <w:adjustRightInd w:val="0"/>
        <w:spacing w:after="0" w:line="240" w:lineRule="auto"/>
        <w:jc w:val="both"/>
        <w:rPr>
          <w:rFonts w:ascii="Arial" w:hAnsi="Arial" w:cs="Arial"/>
          <w:sz w:val="24"/>
          <w:szCs w:val="24"/>
        </w:rPr>
      </w:pPr>
      <w:r w:rsidRPr="00A52284">
        <w:rPr>
          <w:rFonts w:ascii="Arial" w:hAnsi="Arial" w:cs="Arial"/>
          <w:sz w:val="24"/>
          <w:szCs w:val="24"/>
        </w:rPr>
        <w:t>A DMPL é obrigatória para as empresas estatais dependentes constituídas sob a forma de sociedades anônimas e facultativa para os demais órgãos e entidades dos entes da Federação.</w:t>
      </w:r>
    </w:p>
    <w:p w:rsidR="008C3C56" w:rsidRDefault="008C3C56" w:rsidP="00A52284">
      <w:pPr>
        <w:autoSpaceDE w:val="0"/>
        <w:autoSpaceDN w:val="0"/>
        <w:adjustRightInd w:val="0"/>
        <w:spacing w:after="0" w:line="240" w:lineRule="auto"/>
        <w:jc w:val="both"/>
        <w:rPr>
          <w:rFonts w:ascii="Arial" w:hAnsi="Arial" w:cs="Arial"/>
          <w:sz w:val="24"/>
          <w:szCs w:val="24"/>
        </w:rPr>
      </w:pPr>
    </w:p>
    <w:p w:rsidR="008A3226" w:rsidRPr="00817ED8" w:rsidRDefault="00903CFB"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26</w:t>
      </w:r>
      <w:r w:rsidR="008A3226" w:rsidRPr="00817ED8">
        <w:rPr>
          <w:rFonts w:ascii="Arial" w:hAnsi="Arial" w:cs="Arial"/>
          <w:b/>
          <w:bCs/>
          <w:color w:val="215868" w:themeColor="accent5" w:themeShade="80"/>
          <w:sz w:val="24"/>
          <w:szCs w:val="24"/>
        </w:rPr>
        <w:t xml:space="preserve"> C</w:t>
      </w:r>
      <w:r w:rsidR="00FB4284">
        <w:rPr>
          <w:rFonts w:ascii="Arial" w:hAnsi="Arial" w:cs="Arial"/>
          <w:b/>
          <w:bCs/>
          <w:color w:val="215868" w:themeColor="accent5" w:themeShade="80"/>
          <w:sz w:val="24"/>
          <w:szCs w:val="24"/>
        </w:rPr>
        <w:t>apital/Patrimônio Social</w:t>
      </w:r>
    </w:p>
    <w:p w:rsidR="009C4B4D" w:rsidRPr="00817ED8" w:rsidRDefault="009C4B4D" w:rsidP="00807064">
      <w:pPr>
        <w:autoSpaceDE w:val="0"/>
        <w:autoSpaceDN w:val="0"/>
        <w:adjustRightInd w:val="0"/>
        <w:spacing w:after="0" w:line="240" w:lineRule="auto"/>
        <w:jc w:val="both"/>
        <w:rPr>
          <w:rFonts w:ascii="Arial" w:hAnsi="Arial" w:cs="Arial"/>
          <w:sz w:val="24"/>
          <w:szCs w:val="24"/>
        </w:rPr>
      </w:pPr>
      <w:r w:rsidRPr="00817ED8">
        <w:rPr>
          <w:rFonts w:ascii="Arial" w:hAnsi="Arial" w:cs="Arial"/>
          <w:sz w:val="24"/>
          <w:szCs w:val="24"/>
        </w:rPr>
        <w:t>O pa</w:t>
      </w:r>
      <w:r w:rsidR="00817ED8" w:rsidRPr="00817ED8">
        <w:rPr>
          <w:rFonts w:ascii="Arial" w:hAnsi="Arial" w:cs="Arial"/>
          <w:sz w:val="24"/>
          <w:szCs w:val="24"/>
        </w:rPr>
        <w:t xml:space="preserve">trimônio </w:t>
      </w:r>
      <w:r w:rsidR="00E3180C">
        <w:rPr>
          <w:rFonts w:ascii="Arial" w:hAnsi="Arial" w:cs="Arial"/>
          <w:sz w:val="24"/>
          <w:szCs w:val="24"/>
        </w:rPr>
        <w:t xml:space="preserve">líquido somou </w:t>
      </w:r>
      <w:r w:rsidR="00817ED8" w:rsidRPr="00817ED8">
        <w:rPr>
          <w:rFonts w:ascii="Arial" w:hAnsi="Arial" w:cs="Arial"/>
          <w:sz w:val="24"/>
          <w:szCs w:val="24"/>
        </w:rPr>
        <w:t xml:space="preserve">R$ </w:t>
      </w:r>
      <w:r w:rsidR="009327F0">
        <w:rPr>
          <w:rFonts w:ascii="Arial" w:hAnsi="Arial" w:cs="Arial"/>
          <w:sz w:val="24"/>
          <w:szCs w:val="24"/>
        </w:rPr>
        <w:t>3.002.391,94</w:t>
      </w:r>
      <w:r w:rsidR="00B56B08">
        <w:rPr>
          <w:rFonts w:ascii="Arial" w:hAnsi="Arial" w:cs="Arial"/>
          <w:sz w:val="24"/>
          <w:szCs w:val="24"/>
        </w:rPr>
        <w:t xml:space="preserve">, </w:t>
      </w:r>
      <w:r w:rsidR="00817ED8" w:rsidRPr="00817ED8">
        <w:rPr>
          <w:rFonts w:ascii="Arial" w:hAnsi="Arial" w:cs="Arial"/>
          <w:sz w:val="24"/>
          <w:szCs w:val="24"/>
        </w:rPr>
        <w:t>em 31 de dezembro de 201</w:t>
      </w:r>
      <w:r w:rsidR="00865673">
        <w:rPr>
          <w:rFonts w:ascii="Arial" w:hAnsi="Arial" w:cs="Arial"/>
          <w:sz w:val="24"/>
          <w:szCs w:val="24"/>
        </w:rPr>
        <w:t>9</w:t>
      </w:r>
      <w:r w:rsidR="00817ED8" w:rsidRPr="00817ED8">
        <w:rPr>
          <w:rFonts w:ascii="Arial" w:hAnsi="Arial" w:cs="Arial"/>
          <w:sz w:val="24"/>
          <w:szCs w:val="24"/>
        </w:rPr>
        <w:t>.</w:t>
      </w:r>
    </w:p>
    <w:p w:rsidR="00467EE2" w:rsidRDefault="00467EE2" w:rsidP="00807064">
      <w:pPr>
        <w:autoSpaceDE w:val="0"/>
        <w:autoSpaceDN w:val="0"/>
        <w:adjustRightInd w:val="0"/>
        <w:spacing w:after="0" w:line="240" w:lineRule="auto"/>
        <w:jc w:val="both"/>
      </w:pPr>
    </w:p>
    <w:p w:rsidR="008A3226" w:rsidRPr="00817ED8" w:rsidRDefault="00903CFB"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27</w:t>
      </w:r>
      <w:r w:rsidR="00FB4284">
        <w:rPr>
          <w:rFonts w:ascii="Arial" w:hAnsi="Arial" w:cs="Arial"/>
          <w:b/>
          <w:bCs/>
          <w:color w:val="215868" w:themeColor="accent5" w:themeShade="80"/>
          <w:sz w:val="24"/>
          <w:szCs w:val="24"/>
        </w:rPr>
        <w:t xml:space="preserve"> Resultados Acumulados</w:t>
      </w:r>
    </w:p>
    <w:p w:rsidR="00817ED8" w:rsidRPr="009C4B4D" w:rsidRDefault="00817ED8" w:rsidP="00817ED8">
      <w:pPr>
        <w:autoSpaceDE w:val="0"/>
        <w:autoSpaceDN w:val="0"/>
        <w:adjustRightInd w:val="0"/>
        <w:spacing w:after="0" w:line="240" w:lineRule="auto"/>
        <w:jc w:val="both"/>
        <w:rPr>
          <w:rFonts w:ascii="Arial" w:hAnsi="Arial" w:cs="Arial"/>
          <w:sz w:val="24"/>
          <w:szCs w:val="24"/>
        </w:rPr>
      </w:pPr>
      <w:r w:rsidRPr="009C4B4D">
        <w:rPr>
          <w:rFonts w:ascii="Arial" w:hAnsi="Arial" w:cs="Arial"/>
          <w:sz w:val="24"/>
          <w:szCs w:val="24"/>
        </w:rPr>
        <w:t>O resultado do exercício pode ser assim demonstrado:</w:t>
      </w:r>
    </w:p>
    <w:p w:rsidR="00817ED8" w:rsidRDefault="00817ED8" w:rsidP="00817ED8">
      <w:pPr>
        <w:autoSpaceDE w:val="0"/>
        <w:autoSpaceDN w:val="0"/>
        <w:adjustRightInd w:val="0"/>
        <w:spacing w:after="0" w:line="240" w:lineRule="auto"/>
        <w:jc w:val="both"/>
      </w:pPr>
    </w:p>
    <w:tbl>
      <w:tblPr>
        <w:tblStyle w:val="TabeladeGrade4-nfase52"/>
        <w:tblW w:w="9243" w:type="dxa"/>
        <w:tblInd w:w="108" w:type="dxa"/>
        <w:tblLook w:val="04A0" w:firstRow="1" w:lastRow="0" w:firstColumn="1" w:lastColumn="0" w:noHBand="0" w:noVBand="1"/>
      </w:tblPr>
      <w:tblGrid>
        <w:gridCol w:w="4503"/>
        <w:gridCol w:w="4740"/>
      </w:tblGrid>
      <w:tr w:rsidR="00817ED8" w:rsidRPr="00333898" w:rsidTr="00CA0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817ED8" w:rsidRPr="007B30E3" w:rsidRDefault="00817ED8" w:rsidP="00807422">
            <w:pPr>
              <w:autoSpaceDE w:val="0"/>
              <w:autoSpaceDN w:val="0"/>
              <w:adjustRightInd w:val="0"/>
              <w:rPr>
                <w:rFonts w:ascii="Arial" w:hAnsi="Arial" w:cs="Arial"/>
                <w:b w:val="0"/>
                <w:color w:val="auto"/>
                <w:sz w:val="20"/>
                <w:szCs w:val="20"/>
              </w:rPr>
            </w:pPr>
            <w:r w:rsidRPr="007B30E3">
              <w:rPr>
                <w:rFonts w:ascii="Arial" w:hAnsi="Arial" w:cs="Arial"/>
                <w:b w:val="0"/>
                <w:color w:val="auto"/>
                <w:sz w:val="20"/>
                <w:szCs w:val="20"/>
              </w:rPr>
              <w:t>Variações Patrimoniais Diminutivas</w:t>
            </w:r>
          </w:p>
        </w:tc>
        <w:tc>
          <w:tcPr>
            <w:tcW w:w="4740" w:type="dxa"/>
          </w:tcPr>
          <w:p w:rsidR="00817ED8" w:rsidRPr="007B30E3" w:rsidRDefault="00D269FC" w:rsidP="00807422">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7B30E3">
              <w:rPr>
                <w:rFonts w:ascii="Arial" w:hAnsi="Arial" w:cs="Arial"/>
                <w:b w:val="0"/>
                <w:bCs w:val="0"/>
                <w:color w:val="auto"/>
                <w:sz w:val="20"/>
                <w:szCs w:val="20"/>
              </w:rPr>
              <w:t>-</w:t>
            </w:r>
            <w:r w:rsidR="0012699A" w:rsidRPr="007B30E3">
              <w:rPr>
                <w:rFonts w:ascii="Arial" w:hAnsi="Arial" w:cs="Arial"/>
                <w:b w:val="0"/>
                <w:bCs w:val="0"/>
                <w:color w:val="auto"/>
                <w:sz w:val="20"/>
                <w:szCs w:val="20"/>
              </w:rPr>
              <w:t>4.242.791,75</w:t>
            </w:r>
          </w:p>
        </w:tc>
      </w:tr>
      <w:tr w:rsidR="00817ED8" w:rsidRPr="00333898" w:rsidTr="00CA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817ED8" w:rsidRPr="007B30E3" w:rsidRDefault="00817ED8" w:rsidP="00807422">
            <w:pPr>
              <w:autoSpaceDE w:val="0"/>
              <w:autoSpaceDN w:val="0"/>
              <w:adjustRightInd w:val="0"/>
              <w:rPr>
                <w:rFonts w:ascii="Arial" w:hAnsi="Arial" w:cs="Arial"/>
                <w:b w:val="0"/>
                <w:sz w:val="20"/>
                <w:szCs w:val="20"/>
              </w:rPr>
            </w:pPr>
            <w:r w:rsidRPr="007B30E3">
              <w:rPr>
                <w:rFonts w:ascii="Arial" w:hAnsi="Arial" w:cs="Arial"/>
                <w:b w:val="0"/>
                <w:sz w:val="20"/>
                <w:szCs w:val="20"/>
              </w:rPr>
              <w:t>Variações Patrimoniais Aumentativas</w:t>
            </w:r>
          </w:p>
        </w:tc>
        <w:tc>
          <w:tcPr>
            <w:tcW w:w="4740" w:type="dxa"/>
          </w:tcPr>
          <w:p w:rsidR="00817ED8" w:rsidRPr="007B30E3" w:rsidRDefault="0012699A" w:rsidP="0080742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30E3">
              <w:rPr>
                <w:rFonts w:ascii="Arial" w:hAnsi="Arial" w:cs="Arial"/>
                <w:sz w:val="20"/>
                <w:szCs w:val="20"/>
              </w:rPr>
              <w:t>4.536.418,94</w:t>
            </w:r>
          </w:p>
        </w:tc>
      </w:tr>
      <w:tr w:rsidR="00817ED8" w:rsidRPr="009C4B4D" w:rsidTr="00CA0CD8">
        <w:tc>
          <w:tcPr>
            <w:cnfStyle w:val="001000000000" w:firstRow="0" w:lastRow="0" w:firstColumn="1" w:lastColumn="0" w:oddVBand="0" w:evenVBand="0" w:oddHBand="0" w:evenHBand="0" w:firstRowFirstColumn="0" w:firstRowLastColumn="0" w:lastRowFirstColumn="0" w:lastRowLastColumn="0"/>
            <w:tcW w:w="4503" w:type="dxa"/>
          </w:tcPr>
          <w:p w:rsidR="00817ED8" w:rsidRPr="007B30E3" w:rsidRDefault="00817ED8" w:rsidP="00807422">
            <w:pPr>
              <w:autoSpaceDE w:val="0"/>
              <w:autoSpaceDN w:val="0"/>
              <w:adjustRightInd w:val="0"/>
              <w:rPr>
                <w:rFonts w:ascii="Arial" w:hAnsi="Arial" w:cs="Arial"/>
                <w:b w:val="0"/>
                <w:sz w:val="20"/>
                <w:szCs w:val="20"/>
              </w:rPr>
            </w:pPr>
            <w:r w:rsidRPr="007B30E3">
              <w:rPr>
                <w:rFonts w:ascii="Arial" w:hAnsi="Arial" w:cs="Arial"/>
                <w:b w:val="0"/>
                <w:sz w:val="20"/>
                <w:szCs w:val="20"/>
              </w:rPr>
              <w:t>Total</w:t>
            </w:r>
          </w:p>
        </w:tc>
        <w:tc>
          <w:tcPr>
            <w:tcW w:w="4740" w:type="dxa"/>
          </w:tcPr>
          <w:p w:rsidR="00817ED8" w:rsidRPr="007B30E3" w:rsidRDefault="00865673" w:rsidP="0080742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293.627,19</w:t>
            </w:r>
          </w:p>
        </w:tc>
      </w:tr>
    </w:tbl>
    <w:p w:rsidR="00817ED8" w:rsidRDefault="00817ED8" w:rsidP="00817ED8">
      <w:pPr>
        <w:autoSpaceDE w:val="0"/>
        <w:autoSpaceDN w:val="0"/>
        <w:adjustRightInd w:val="0"/>
        <w:spacing w:after="0" w:line="240" w:lineRule="auto"/>
        <w:jc w:val="both"/>
      </w:pPr>
    </w:p>
    <w:tbl>
      <w:tblPr>
        <w:tblStyle w:val="TabeladeGrade4-nfase52"/>
        <w:tblW w:w="9243" w:type="dxa"/>
        <w:tblInd w:w="108" w:type="dxa"/>
        <w:tblLook w:val="04A0" w:firstRow="1" w:lastRow="0" w:firstColumn="1" w:lastColumn="0" w:noHBand="0" w:noVBand="1"/>
      </w:tblPr>
      <w:tblGrid>
        <w:gridCol w:w="4395"/>
        <w:gridCol w:w="4848"/>
      </w:tblGrid>
      <w:tr w:rsidR="00817ED8" w:rsidRPr="00333898" w:rsidTr="00CA0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817ED8" w:rsidRPr="007B30E3" w:rsidRDefault="00817ED8" w:rsidP="00807422">
            <w:pPr>
              <w:autoSpaceDE w:val="0"/>
              <w:autoSpaceDN w:val="0"/>
              <w:adjustRightInd w:val="0"/>
              <w:rPr>
                <w:rFonts w:ascii="Arial" w:hAnsi="Arial" w:cs="Arial"/>
                <w:b w:val="0"/>
                <w:color w:val="auto"/>
                <w:sz w:val="20"/>
                <w:szCs w:val="20"/>
              </w:rPr>
            </w:pPr>
            <w:r w:rsidRPr="007B30E3">
              <w:rPr>
                <w:rFonts w:ascii="Arial" w:hAnsi="Arial" w:cs="Arial"/>
                <w:b w:val="0"/>
                <w:color w:val="auto"/>
                <w:sz w:val="20"/>
                <w:szCs w:val="20"/>
              </w:rPr>
              <w:t xml:space="preserve">Patrimônio Líquido Inicial </w:t>
            </w:r>
          </w:p>
        </w:tc>
        <w:tc>
          <w:tcPr>
            <w:tcW w:w="4848" w:type="dxa"/>
          </w:tcPr>
          <w:p w:rsidR="00817ED8" w:rsidRPr="007B30E3" w:rsidRDefault="000678CB" w:rsidP="00807422">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7B30E3">
              <w:rPr>
                <w:rFonts w:ascii="Arial" w:hAnsi="Arial" w:cs="Arial"/>
                <w:b w:val="0"/>
                <w:color w:val="auto"/>
                <w:sz w:val="20"/>
                <w:szCs w:val="20"/>
              </w:rPr>
              <w:t>2.233.881,03</w:t>
            </w:r>
          </w:p>
        </w:tc>
      </w:tr>
      <w:tr w:rsidR="000678CB" w:rsidRPr="00333898" w:rsidTr="00CA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0678CB" w:rsidRPr="007B30E3" w:rsidRDefault="000678CB" w:rsidP="00807422">
            <w:pPr>
              <w:autoSpaceDE w:val="0"/>
              <w:autoSpaceDN w:val="0"/>
              <w:adjustRightInd w:val="0"/>
              <w:rPr>
                <w:rFonts w:ascii="Arial" w:hAnsi="Arial" w:cs="Arial"/>
                <w:b w:val="0"/>
                <w:sz w:val="20"/>
                <w:szCs w:val="20"/>
              </w:rPr>
            </w:pPr>
            <w:r w:rsidRPr="007B30E3">
              <w:rPr>
                <w:rFonts w:ascii="Arial" w:hAnsi="Arial" w:cs="Arial"/>
                <w:b w:val="0"/>
                <w:sz w:val="20"/>
                <w:szCs w:val="20"/>
              </w:rPr>
              <w:t xml:space="preserve">Ajustes exercícios anteriores </w:t>
            </w:r>
          </w:p>
        </w:tc>
        <w:tc>
          <w:tcPr>
            <w:tcW w:w="4848" w:type="dxa"/>
          </w:tcPr>
          <w:p w:rsidR="000678CB" w:rsidRPr="007B30E3" w:rsidRDefault="000678CB" w:rsidP="0080742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30E3">
              <w:rPr>
                <w:rFonts w:ascii="Arial" w:hAnsi="Arial" w:cs="Arial"/>
                <w:sz w:val="20"/>
                <w:szCs w:val="20"/>
              </w:rPr>
              <w:t>474.883,72</w:t>
            </w:r>
          </w:p>
        </w:tc>
      </w:tr>
      <w:tr w:rsidR="00817ED8" w:rsidRPr="00333898" w:rsidTr="00CA0CD8">
        <w:tc>
          <w:tcPr>
            <w:cnfStyle w:val="001000000000" w:firstRow="0" w:lastRow="0" w:firstColumn="1" w:lastColumn="0" w:oddVBand="0" w:evenVBand="0" w:oddHBand="0" w:evenHBand="0" w:firstRowFirstColumn="0" w:firstRowLastColumn="0" w:lastRowFirstColumn="0" w:lastRowLastColumn="0"/>
            <w:tcW w:w="4395" w:type="dxa"/>
          </w:tcPr>
          <w:p w:rsidR="00817ED8" w:rsidRPr="007B30E3" w:rsidRDefault="00817ED8" w:rsidP="00807422">
            <w:pPr>
              <w:autoSpaceDE w:val="0"/>
              <w:autoSpaceDN w:val="0"/>
              <w:adjustRightInd w:val="0"/>
              <w:rPr>
                <w:rFonts w:ascii="Arial" w:hAnsi="Arial" w:cs="Arial"/>
                <w:b w:val="0"/>
                <w:sz w:val="20"/>
                <w:szCs w:val="20"/>
              </w:rPr>
            </w:pPr>
            <w:r w:rsidRPr="007B30E3">
              <w:rPr>
                <w:rFonts w:ascii="Arial" w:hAnsi="Arial" w:cs="Arial"/>
                <w:b w:val="0"/>
                <w:sz w:val="20"/>
                <w:szCs w:val="20"/>
              </w:rPr>
              <w:t>Resultado do Exercício</w:t>
            </w:r>
          </w:p>
        </w:tc>
        <w:tc>
          <w:tcPr>
            <w:tcW w:w="4848" w:type="dxa"/>
          </w:tcPr>
          <w:p w:rsidR="00817ED8" w:rsidRPr="007B30E3" w:rsidRDefault="000678CB" w:rsidP="00807422">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30E3">
              <w:rPr>
                <w:rFonts w:ascii="Arial" w:hAnsi="Arial" w:cs="Arial"/>
                <w:sz w:val="20"/>
                <w:szCs w:val="20"/>
              </w:rPr>
              <w:t>293.627,19</w:t>
            </w:r>
          </w:p>
        </w:tc>
      </w:tr>
      <w:tr w:rsidR="00817ED8" w:rsidRPr="00333898" w:rsidTr="00CA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817ED8" w:rsidRPr="007B30E3" w:rsidRDefault="00817ED8" w:rsidP="00807422">
            <w:pPr>
              <w:autoSpaceDE w:val="0"/>
              <w:autoSpaceDN w:val="0"/>
              <w:adjustRightInd w:val="0"/>
              <w:rPr>
                <w:rFonts w:ascii="Arial" w:hAnsi="Arial" w:cs="Arial"/>
                <w:b w:val="0"/>
                <w:sz w:val="20"/>
                <w:szCs w:val="20"/>
              </w:rPr>
            </w:pPr>
            <w:r w:rsidRPr="007B30E3">
              <w:rPr>
                <w:rFonts w:ascii="Arial" w:hAnsi="Arial" w:cs="Arial"/>
                <w:b w:val="0"/>
                <w:sz w:val="20"/>
                <w:szCs w:val="20"/>
              </w:rPr>
              <w:t>Patrimônio Líquido Final</w:t>
            </w:r>
          </w:p>
        </w:tc>
        <w:tc>
          <w:tcPr>
            <w:tcW w:w="4848" w:type="dxa"/>
          </w:tcPr>
          <w:p w:rsidR="00817ED8" w:rsidRPr="007B30E3" w:rsidRDefault="000678CB" w:rsidP="0080742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B30E3">
              <w:rPr>
                <w:rFonts w:ascii="Arial" w:hAnsi="Arial" w:cs="Arial"/>
                <w:sz w:val="20"/>
                <w:szCs w:val="20"/>
              </w:rPr>
              <w:t>3.002.391,94</w:t>
            </w:r>
          </w:p>
        </w:tc>
      </w:tr>
    </w:tbl>
    <w:p w:rsidR="008A3226" w:rsidRDefault="008A3226" w:rsidP="00807064">
      <w:pPr>
        <w:autoSpaceDE w:val="0"/>
        <w:autoSpaceDN w:val="0"/>
        <w:adjustRightInd w:val="0"/>
        <w:spacing w:after="0" w:line="240" w:lineRule="auto"/>
        <w:jc w:val="both"/>
      </w:pPr>
    </w:p>
    <w:p w:rsidR="007A2278" w:rsidRPr="00A52284" w:rsidRDefault="007A2278" w:rsidP="007A22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Fundo Municipal de Saúde</w:t>
      </w:r>
      <w:r w:rsidRPr="00A52284">
        <w:rPr>
          <w:rFonts w:ascii="Arial" w:hAnsi="Arial" w:cs="Arial"/>
          <w:sz w:val="24"/>
          <w:szCs w:val="24"/>
        </w:rPr>
        <w:t xml:space="preserve"> em 201</w:t>
      </w:r>
      <w:r w:rsidR="00B75FB1">
        <w:rPr>
          <w:rFonts w:ascii="Arial" w:hAnsi="Arial" w:cs="Arial"/>
          <w:sz w:val="24"/>
          <w:szCs w:val="24"/>
        </w:rPr>
        <w:t>9</w:t>
      </w:r>
      <w:r w:rsidRPr="00A52284">
        <w:rPr>
          <w:rFonts w:ascii="Arial" w:hAnsi="Arial" w:cs="Arial"/>
          <w:sz w:val="24"/>
          <w:szCs w:val="24"/>
        </w:rPr>
        <w:t xml:space="preserve">, demonstrou alteração do Patrimônio Líquido </w:t>
      </w:r>
      <w:r>
        <w:rPr>
          <w:rFonts w:ascii="Arial" w:hAnsi="Arial" w:cs="Arial"/>
          <w:sz w:val="24"/>
          <w:szCs w:val="24"/>
        </w:rPr>
        <w:t xml:space="preserve">positiva (credora), </w:t>
      </w:r>
      <w:r w:rsidRPr="00A52284">
        <w:rPr>
          <w:rFonts w:ascii="Arial" w:hAnsi="Arial" w:cs="Arial"/>
          <w:sz w:val="24"/>
          <w:szCs w:val="24"/>
        </w:rPr>
        <w:t xml:space="preserve">passando de R$ </w:t>
      </w:r>
      <w:r w:rsidR="00320CB3">
        <w:rPr>
          <w:rFonts w:ascii="Arial" w:hAnsi="Arial" w:cs="Arial"/>
          <w:sz w:val="24"/>
          <w:szCs w:val="24"/>
        </w:rPr>
        <w:t>2.233.881,03</w:t>
      </w:r>
      <w:r w:rsidRPr="00A52284">
        <w:rPr>
          <w:rFonts w:ascii="Arial" w:hAnsi="Arial" w:cs="Arial"/>
          <w:sz w:val="24"/>
          <w:szCs w:val="24"/>
        </w:rPr>
        <w:t xml:space="preserve"> em</w:t>
      </w:r>
      <w:r>
        <w:rPr>
          <w:rFonts w:ascii="Arial" w:hAnsi="Arial" w:cs="Arial"/>
          <w:sz w:val="24"/>
          <w:szCs w:val="24"/>
        </w:rPr>
        <w:t xml:space="preserve"> </w:t>
      </w:r>
      <w:r w:rsidR="00320CB3">
        <w:rPr>
          <w:rFonts w:ascii="Arial" w:hAnsi="Arial" w:cs="Arial"/>
          <w:sz w:val="24"/>
          <w:szCs w:val="24"/>
        </w:rPr>
        <w:t>2018</w:t>
      </w:r>
      <w:r w:rsidRPr="00A52284">
        <w:rPr>
          <w:rFonts w:ascii="Arial" w:hAnsi="Arial" w:cs="Arial"/>
          <w:sz w:val="24"/>
          <w:szCs w:val="24"/>
        </w:rPr>
        <w:t xml:space="preserve">, para R$ </w:t>
      </w:r>
      <w:r w:rsidR="00320CB3">
        <w:rPr>
          <w:rFonts w:ascii="Arial" w:hAnsi="Arial" w:cs="Arial"/>
          <w:sz w:val="24"/>
          <w:szCs w:val="24"/>
        </w:rPr>
        <w:t>3.002.391,94 em 2019. A</w:t>
      </w:r>
      <w:r w:rsidRPr="00A52284">
        <w:rPr>
          <w:rFonts w:ascii="Arial" w:hAnsi="Arial" w:cs="Arial"/>
          <w:sz w:val="24"/>
          <w:szCs w:val="24"/>
        </w:rPr>
        <w:t xml:space="preserve"> alteração </w:t>
      </w:r>
      <w:r w:rsidR="006E65A3">
        <w:rPr>
          <w:rFonts w:ascii="Arial" w:hAnsi="Arial" w:cs="Arial"/>
          <w:sz w:val="24"/>
          <w:szCs w:val="24"/>
        </w:rPr>
        <w:t>refere-se a</w:t>
      </w:r>
      <w:r>
        <w:rPr>
          <w:rFonts w:ascii="Arial" w:hAnsi="Arial" w:cs="Arial"/>
          <w:sz w:val="24"/>
          <w:szCs w:val="24"/>
        </w:rPr>
        <w:t xml:space="preserve"> </w:t>
      </w:r>
      <w:r w:rsidRPr="00A52284">
        <w:rPr>
          <w:rFonts w:ascii="Arial" w:hAnsi="Arial" w:cs="Arial"/>
          <w:sz w:val="24"/>
          <w:szCs w:val="24"/>
        </w:rPr>
        <w:t xml:space="preserve">R$ </w:t>
      </w:r>
      <w:r w:rsidR="006E65A3">
        <w:rPr>
          <w:rFonts w:ascii="Arial" w:hAnsi="Arial" w:cs="Arial"/>
          <w:sz w:val="24"/>
          <w:szCs w:val="24"/>
        </w:rPr>
        <w:t>293.627,19 de resultado do exercício 2019 e R$ 474.883,72</w:t>
      </w:r>
      <w:r>
        <w:rPr>
          <w:rFonts w:ascii="Arial" w:hAnsi="Arial" w:cs="Arial"/>
          <w:sz w:val="24"/>
          <w:szCs w:val="24"/>
        </w:rPr>
        <w:t>,</w:t>
      </w:r>
      <w:r w:rsidRPr="00A52284">
        <w:rPr>
          <w:rFonts w:ascii="Arial" w:hAnsi="Arial" w:cs="Arial"/>
          <w:sz w:val="24"/>
          <w:szCs w:val="24"/>
        </w:rPr>
        <w:t xml:space="preserve"> </w:t>
      </w:r>
      <w:r w:rsidR="009327F0">
        <w:rPr>
          <w:rFonts w:ascii="Arial" w:hAnsi="Arial" w:cs="Arial"/>
          <w:sz w:val="24"/>
          <w:szCs w:val="24"/>
        </w:rPr>
        <w:t xml:space="preserve">ajustes de exercício anterior </w:t>
      </w:r>
      <w:r w:rsidRPr="00A52284">
        <w:rPr>
          <w:rFonts w:ascii="Arial" w:hAnsi="Arial" w:cs="Arial"/>
          <w:sz w:val="24"/>
          <w:szCs w:val="24"/>
        </w:rPr>
        <w:t>referente re</w:t>
      </w:r>
      <w:r w:rsidR="008961F3">
        <w:rPr>
          <w:rFonts w:ascii="Arial" w:hAnsi="Arial" w:cs="Arial"/>
          <w:sz w:val="24"/>
          <w:szCs w:val="24"/>
        </w:rPr>
        <w:t>avaliação patrimonial</w:t>
      </w:r>
      <w:r w:rsidRPr="00A52284">
        <w:rPr>
          <w:rFonts w:ascii="Arial" w:hAnsi="Arial" w:cs="Arial"/>
          <w:sz w:val="24"/>
          <w:szCs w:val="24"/>
        </w:rPr>
        <w:t xml:space="preserve">. </w:t>
      </w:r>
    </w:p>
    <w:p w:rsidR="00467EE2" w:rsidRDefault="00467EE2" w:rsidP="00807064">
      <w:pPr>
        <w:autoSpaceDE w:val="0"/>
        <w:autoSpaceDN w:val="0"/>
        <w:adjustRightInd w:val="0"/>
        <w:spacing w:after="0" w:line="240" w:lineRule="auto"/>
        <w:jc w:val="both"/>
      </w:pPr>
    </w:p>
    <w:p w:rsidR="007A2278" w:rsidRDefault="007A2278" w:rsidP="00807064">
      <w:pPr>
        <w:autoSpaceDE w:val="0"/>
        <w:autoSpaceDN w:val="0"/>
        <w:adjustRightInd w:val="0"/>
        <w:spacing w:after="0" w:line="240" w:lineRule="auto"/>
        <w:jc w:val="both"/>
      </w:pPr>
    </w:p>
    <w:p w:rsidR="00FB4284" w:rsidRDefault="00903CFB"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lastRenderedPageBreak/>
        <w:t xml:space="preserve">28 </w:t>
      </w:r>
      <w:r w:rsidR="008A3226" w:rsidRPr="00817ED8">
        <w:rPr>
          <w:rFonts w:ascii="Arial" w:hAnsi="Arial" w:cs="Arial"/>
          <w:b/>
          <w:bCs/>
          <w:color w:val="215868" w:themeColor="accent5" w:themeShade="80"/>
          <w:sz w:val="24"/>
          <w:szCs w:val="24"/>
        </w:rPr>
        <w:t>Aj</w:t>
      </w:r>
      <w:r w:rsidR="00FB4284">
        <w:rPr>
          <w:rFonts w:ascii="Arial" w:hAnsi="Arial" w:cs="Arial"/>
          <w:b/>
          <w:bCs/>
          <w:color w:val="215868" w:themeColor="accent5" w:themeShade="80"/>
          <w:sz w:val="24"/>
          <w:szCs w:val="24"/>
        </w:rPr>
        <w:t>ustes dos exercícios anteriores</w:t>
      </w:r>
    </w:p>
    <w:p w:rsidR="00817ED8" w:rsidRPr="00B56B08" w:rsidRDefault="0016708B"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00B56B08" w:rsidRPr="00B56B08">
        <w:rPr>
          <w:rFonts w:ascii="Arial" w:hAnsi="Arial" w:cs="Arial"/>
          <w:sz w:val="24"/>
          <w:szCs w:val="24"/>
        </w:rPr>
        <w:t xml:space="preserve">ouveram ajustes de exercícios anteriores na Entidade </w:t>
      </w:r>
      <w:r w:rsidR="009E120F">
        <w:rPr>
          <w:rFonts w:ascii="Arial" w:hAnsi="Arial" w:cs="Arial"/>
          <w:sz w:val="24"/>
          <w:szCs w:val="24"/>
        </w:rPr>
        <w:t>Fundo Municipal de Saúde</w:t>
      </w:r>
      <w:r w:rsidR="00B56B08" w:rsidRPr="00B56B08">
        <w:rPr>
          <w:rFonts w:ascii="Arial" w:hAnsi="Arial" w:cs="Arial"/>
          <w:sz w:val="24"/>
          <w:szCs w:val="24"/>
        </w:rPr>
        <w:t>, no ano de 201</w:t>
      </w:r>
      <w:r w:rsidR="008961F3">
        <w:rPr>
          <w:rFonts w:ascii="Arial" w:hAnsi="Arial" w:cs="Arial"/>
          <w:sz w:val="24"/>
          <w:szCs w:val="24"/>
        </w:rPr>
        <w:t>9</w:t>
      </w:r>
      <w:r>
        <w:rPr>
          <w:rFonts w:ascii="Arial" w:hAnsi="Arial" w:cs="Arial"/>
          <w:sz w:val="24"/>
          <w:szCs w:val="24"/>
        </w:rPr>
        <w:t xml:space="preserve"> no valor de R$ 474.883,72 referente </w:t>
      </w:r>
      <w:r w:rsidR="009327F0">
        <w:rPr>
          <w:rFonts w:ascii="Arial" w:hAnsi="Arial" w:cs="Arial"/>
          <w:sz w:val="24"/>
          <w:szCs w:val="24"/>
        </w:rPr>
        <w:t>atualização física e contábil do patrimônio, realizado em 2019</w:t>
      </w:r>
      <w:r w:rsidR="00B56B08" w:rsidRPr="00B56B08">
        <w:rPr>
          <w:rFonts w:ascii="Arial" w:hAnsi="Arial" w:cs="Arial"/>
          <w:sz w:val="24"/>
          <w:szCs w:val="24"/>
        </w:rPr>
        <w:t>.</w:t>
      </w:r>
    </w:p>
    <w:p w:rsidR="008A3226" w:rsidRDefault="008A3226" w:rsidP="00807064">
      <w:pPr>
        <w:autoSpaceDE w:val="0"/>
        <w:autoSpaceDN w:val="0"/>
        <w:adjustRightInd w:val="0"/>
        <w:spacing w:after="0" w:line="240" w:lineRule="auto"/>
        <w:jc w:val="both"/>
      </w:pPr>
    </w:p>
    <w:p w:rsidR="00467EE2" w:rsidRDefault="00467EE2" w:rsidP="00807064">
      <w:pPr>
        <w:autoSpaceDE w:val="0"/>
        <w:autoSpaceDN w:val="0"/>
        <w:adjustRightInd w:val="0"/>
        <w:spacing w:after="0" w:line="240" w:lineRule="auto"/>
        <w:jc w:val="both"/>
      </w:pPr>
    </w:p>
    <w:p w:rsidR="008A3226" w:rsidRPr="00817ED8" w:rsidRDefault="00903CFB" w:rsidP="00807064">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29</w:t>
      </w:r>
      <w:r w:rsidR="0005625A" w:rsidRPr="00817ED8">
        <w:rPr>
          <w:rFonts w:ascii="Arial" w:hAnsi="Arial" w:cs="Arial"/>
          <w:b/>
          <w:bCs/>
          <w:color w:val="215868" w:themeColor="accent5" w:themeShade="80"/>
          <w:sz w:val="24"/>
          <w:szCs w:val="24"/>
        </w:rPr>
        <w:t xml:space="preserve"> </w:t>
      </w:r>
      <w:r w:rsidR="008A3226" w:rsidRPr="00817ED8">
        <w:rPr>
          <w:rFonts w:ascii="Arial" w:hAnsi="Arial" w:cs="Arial"/>
          <w:b/>
          <w:bCs/>
          <w:color w:val="215868" w:themeColor="accent5" w:themeShade="80"/>
          <w:sz w:val="24"/>
          <w:szCs w:val="24"/>
        </w:rPr>
        <w:t>Ajustes de avaliação patrimonial</w:t>
      </w:r>
    </w:p>
    <w:p w:rsidR="008A3226" w:rsidRPr="009327F0" w:rsidRDefault="00817ED8" w:rsidP="00817ED8">
      <w:pPr>
        <w:autoSpaceDE w:val="0"/>
        <w:autoSpaceDN w:val="0"/>
        <w:adjustRightInd w:val="0"/>
        <w:spacing w:after="0" w:line="240" w:lineRule="auto"/>
        <w:jc w:val="both"/>
        <w:rPr>
          <w:rFonts w:ascii="Arial" w:hAnsi="Arial" w:cs="Arial"/>
          <w:sz w:val="24"/>
          <w:szCs w:val="24"/>
        </w:rPr>
      </w:pPr>
      <w:r w:rsidRPr="009327F0">
        <w:rPr>
          <w:rFonts w:ascii="Arial" w:hAnsi="Arial" w:cs="Arial"/>
          <w:sz w:val="24"/>
          <w:szCs w:val="24"/>
        </w:rPr>
        <w:t>Não houveram Ajustes de Avaliação Patrimonial.</w:t>
      </w:r>
    </w:p>
    <w:p w:rsidR="00817ED8" w:rsidRDefault="00817ED8" w:rsidP="00817ED8">
      <w:pPr>
        <w:autoSpaceDE w:val="0"/>
        <w:autoSpaceDN w:val="0"/>
        <w:adjustRightInd w:val="0"/>
        <w:spacing w:after="0" w:line="240" w:lineRule="auto"/>
        <w:jc w:val="both"/>
        <w:rPr>
          <w:rFonts w:ascii="Arial" w:hAnsi="Arial" w:cs="Arial"/>
          <w:sz w:val="24"/>
          <w:szCs w:val="24"/>
        </w:rPr>
      </w:pPr>
    </w:p>
    <w:p w:rsidR="0093664A" w:rsidRDefault="0093664A" w:rsidP="00817ED8">
      <w:pPr>
        <w:autoSpaceDE w:val="0"/>
        <w:autoSpaceDN w:val="0"/>
        <w:adjustRightInd w:val="0"/>
        <w:spacing w:after="0" w:line="240" w:lineRule="auto"/>
        <w:jc w:val="both"/>
        <w:rPr>
          <w:rFonts w:ascii="Arial" w:hAnsi="Arial" w:cs="Arial"/>
          <w:sz w:val="24"/>
          <w:szCs w:val="24"/>
        </w:rPr>
      </w:pPr>
    </w:p>
    <w:p w:rsidR="009327F0" w:rsidRDefault="009327F0" w:rsidP="00817ED8">
      <w:pPr>
        <w:autoSpaceDE w:val="0"/>
        <w:autoSpaceDN w:val="0"/>
        <w:adjustRightInd w:val="0"/>
        <w:spacing w:after="0" w:line="240" w:lineRule="auto"/>
        <w:jc w:val="both"/>
        <w:rPr>
          <w:rFonts w:ascii="Arial" w:hAnsi="Arial" w:cs="Arial"/>
          <w:sz w:val="24"/>
          <w:szCs w:val="24"/>
        </w:rPr>
      </w:pPr>
    </w:p>
    <w:p w:rsidR="009327F0" w:rsidRDefault="009327F0" w:rsidP="00817ED8">
      <w:pPr>
        <w:autoSpaceDE w:val="0"/>
        <w:autoSpaceDN w:val="0"/>
        <w:adjustRightInd w:val="0"/>
        <w:spacing w:after="0" w:line="240" w:lineRule="auto"/>
        <w:jc w:val="both"/>
        <w:rPr>
          <w:rFonts w:ascii="Arial" w:hAnsi="Arial" w:cs="Arial"/>
          <w:sz w:val="24"/>
          <w:szCs w:val="24"/>
        </w:rPr>
      </w:pPr>
    </w:p>
    <w:p w:rsidR="009327F0" w:rsidRDefault="009327F0" w:rsidP="00817ED8">
      <w:pPr>
        <w:autoSpaceDE w:val="0"/>
        <w:autoSpaceDN w:val="0"/>
        <w:adjustRightInd w:val="0"/>
        <w:spacing w:after="0" w:line="240" w:lineRule="auto"/>
        <w:jc w:val="both"/>
        <w:rPr>
          <w:rFonts w:ascii="Arial" w:hAnsi="Arial" w:cs="Arial"/>
          <w:sz w:val="24"/>
          <w:szCs w:val="24"/>
        </w:rPr>
      </w:pPr>
    </w:p>
    <w:p w:rsidR="009327F0" w:rsidRDefault="009327F0" w:rsidP="00817ED8">
      <w:pPr>
        <w:autoSpaceDE w:val="0"/>
        <w:autoSpaceDN w:val="0"/>
        <w:adjustRightInd w:val="0"/>
        <w:spacing w:after="0" w:line="240" w:lineRule="auto"/>
        <w:jc w:val="both"/>
        <w:rPr>
          <w:rFonts w:ascii="Arial" w:hAnsi="Arial" w:cs="Arial"/>
          <w:sz w:val="24"/>
          <w:szCs w:val="24"/>
        </w:rPr>
      </w:pPr>
    </w:p>
    <w:p w:rsidR="009327F0" w:rsidRDefault="009327F0" w:rsidP="00817ED8">
      <w:pPr>
        <w:autoSpaceDE w:val="0"/>
        <w:autoSpaceDN w:val="0"/>
        <w:adjustRightInd w:val="0"/>
        <w:spacing w:after="0" w:line="240" w:lineRule="auto"/>
        <w:jc w:val="both"/>
        <w:rPr>
          <w:rFonts w:ascii="Arial" w:hAnsi="Arial" w:cs="Arial"/>
          <w:sz w:val="24"/>
          <w:szCs w:val="24"/>
        </w:rPr>
      </w:pPr>
    </w:p>
    <w:p w:rsidR="008A3226" w:rsidRPr="009327F0" w:rsidRDefault="002D5789" w:rsidP="0093664A">
      <w:pPr>
        <w:spacing w:after="0" w:line="240" w:lineRule="auto"/>
        <w:rPr>
          <w:rFonts w:ascii="Bahnschrift" w:hAnsi="Bahnschrift" w:cs="Arial"/>
          <w:b/>
          <w:bCs/>
          <w:sz w:val="28"/>
          <w:szCs w:val="28"/>
        </w:rPr>
      </w:pPr>
      <w:r w:rsidRPr="009327F0">
        <w:rPr>
          <w:rFonts w:ascii="Bahnschrift" w:hAnsi="Bahnschrift" w:cs="Arial"/>
          <w:b/>
          <w:bCs/>
          <w:sz w:val="28"/>
          <w:szCs w:val="28"/>
        </w:rPr>
        <w:t>CONSIDERAÇÕES FINAIS</w:t>
      </w:r>
    </w:p>
    <w:p w:rsidR="00AE3744" w:rsidRPr="00AE3744" w:rsidRDefault="00AE3744" w:rsidP="0093664A">
      <w:pPr>
        <w:spacing w:after="0" w:line="240" w:lineRule="auto"/>
        <w:rPr>
          <w:rFonts w:ascii="Arial" w:hAnsi="Arial" w:cs="Arial"/>
          <w:b/>
          <w:bCs/>
          <w:color w:val="984806" w:themeColor="accent6" w:themeShade="80"/>
          <w:sz w:val="24"/>
          <w:szCs w:val="24"/>
        </w:rPr>
      </w:pPr>
    </w:p>
    <w:p w:rsidR="00AE3744" w:rsidRPr="00AE3744" w:rsidRDefault="00AE3744" w:rsidP="0093664A">
      <w:pPr>
        <w:spacing w:after="0" w:line="240" w:lineRule="auto"/>
        <w:rPr>
          <w:rFonts w:ascii="Arial" w:hAnsi="Arial" w:cs="Arial"/>
          <w:b/>
          <w:bCs/>
          <w:color w:val="984806" w:themeColor="accent6" w:themeShade="80"/>
          <w:sz w:val="24"/>
          <w:szCs w:val="24"/>
        </w:rPr>
      </w:pPr>
    </w:p>
    <w:p w:rsidR="008A3226" w:rsidRPr="009D076F" w:rsidRDefault="008A3226" w:rsidP="00807064">
      <w:pPr>
        <w:spacing w:line="240" w:lineRule="auto"/>
        <w:jc w:val="both"/>
        <w:rPr>
          <w:rFonts w:ascii="Arial" w:hAnsi="Arial" w:cs="Arial"/>
          <w:sz w:val="24"/>
          <w:szCs w:val="24"/>
        </w:rPr>
      </w:pPr>
      <w:r w:rsidRPr="009D076F">
        <w:rPr>
          <w:rFonts w:ascii="Arial" w:hAnsi="Arial" w:cs="Arial"/>
          <w:sz w:val="24"/>
          <w:szCs w:val="24"/>
        </w:rPr>
        <w:t>As demonstrações contábeis foram elaboradas atendendo a Lei Federal 4.320, de 17 de março de 1</w:t>
      </w:r>
      <w:r w:rsidR="0070406E">
        <w:rPr>
          <w:rFonts w:ascii="Arial" w:hAnsi="Arial" w:cs="Arial"/>
          <w:sz w:val="24"/>
          <w:szCs w:val="24"/>
        </w:rPr>
        <w:t>.</w:t>
      </w:r>
      <w:r w:rsidRPr="009D076F">
        <w:rPr>
          <w:rFonts w:ascii="Arial" w:hAnsi="Arial" w:cs="Arial"/>
          <w:sz w:val="24"/>
          <w:szCs w:val="24"/>
        </w:rPr>
        <w:t>964, as Normas Brasileiras de Contabilidade Aplicadas ao Setor Público, conforme exigências do Tribunal de Contas de Santa Catarina, TCE/SC.</w:t>
      </w:r>
    </w:p>
    <w:p w:rsidR="008A3226" w:rsidRPr="009327F0" w:rsidRDefault="008A3226" w:rsidP="00807064">
      <w:pPr>
        <w:spacing w:line="240" w:lineRule="auto"/>
        <w:jc w:val="both"/>
        <w:rPr>
          <w:rFonts w:ascii="Arial" w:hAnsi="Arial" w:cs="Arial"/>
          <w:color w:val="FF0000"/>
          <w:sz w:val="24"/>
          <w:szCs w:val="24"/>
        </w:rPr>
      </w:pPr>
    </w:p>
    <w:p w:rsidR="00DD2AF5" w:rsidRPr="005F0736" w:rsidRDefault="00DD2AF5" w:rsidP="00DD2AF5">
      <w:pPr>
        <w:autoSpaceDE w:val="0"/>
        <w:autoSpaceDN w:val="0"/>
        <w:adjustRightInd w:val="0"/>
        <w:spacing w:after="0" w:line="240" w:lineRule="auto"/>
        <w:jc w:val="both"/>
        <w:rPr>
          <w:rFonts w:ascii="Arial" w:hAnsi="Arial" w:cs="Arial"/>
          <w:color w:val="215868" w:themeColor="accent5" w:themeShade="80"/>
          <w:sz w:val="24"/>
        </w:rPr>
      </w:pPr>
      <w:r w:rsidRPr="005F0736">
        <w:rPr>
          <w:rFonts w:ascii="Arial" w:hAnsi="Arial" w:cs="Arial"/>
          <w:bCs/>
          <w:color w:val="215868" w:themeColor="accent5" w:themeShade="80"/>
          <w:sz w:val="24"/>
          <w:szCs w:val="24"/>
        </w:rPr>
        <w:t>SANTA TEREZINHA DO PROGRESSO</w:t>
      </w:r>
      <w:r w:rsidRPr="005F0736">
        <w:rPr>
          <w:rFonts w:ascii="Arial" w:hAnsi="Arial" w:cs="Arial"/>
          <w:color w:val="215868" w:themeColor="accent5" w:themeShade="80"/>
          <w:sz w:val="24"/>
        </w:rPr>
        <w:t xml:space="preserve">, SC, 26 </w:t>
      </w:r>
      <w:r>
        <w:rPr>
          <w:rFonts w:ascii="Arial" w:hAnsi="Arial" w:cs="Arial"/>
          <w:color w:val="215868" w:themeColor="accent5" w:themeShade="80"/>
          <w:sz w:val="24"/>
        </w:rPr>
        <w:t>DE FEVEREIRO DE</w:t>
      </w:r>
      <w:r w:rsidRPr="005F0736">
        <w:rPr>
          <w:rFonts w:ascii="Arial" w:hAnsi="Arial" w:cs="Arial"/>
          <w:color w:val="215868" w:themeColor="accent5" w:themeShade="80"/>
          <w:sz w:val="24"/>
        </w:rPr>
        <w:t xml:space="preserve"> 2020.</w:t>
      </w:r>
    </w:p>
    <w:p w:rsidR="008A3226" w:rsidRPr="009327F0" w:rsidRDefault="008A3226" w:rsidP="00807064">
      <w:pPr>
        <w:autoSpaceDE w:val="0"/>
        <w:autoSpaceDN w:val="0"/>
        <w:adjustRightInd w:val="0"/>
        <w:spacing w:after="0" w:line="240" w:lineRule="auto"/>
        <w:jc w:val="both"/>
        <w:rPr>
          <w:rFonts w:ascii="Arial" w:hAnsi="Arial" w:cs="Arial"/>
          <w:color w:val="FF0000"/>
        </w:rPr>
      </w:pPr>
    </w:p>
    <w:p w:rsidR="00061D86" w:rsidRPr="009327F0" w:rsidRDefault="00061D86" w:rsidP="00807064">
      <w:pPr>
        <w:autoSpaceDE w:val="0"/>
        <w:autoSpaceDN w:val="0"/>
        <w:adjustRightInd w:val="0"/>
        <w:spacing w:after="0" w:line="240" w:lineRule="auto"/>
        <w:jc w:val="both"/>
        <w:rPr>
          <w:rFonts w:ascii="Arial" w:hAnsi="Arial" w:cs="Arial"/>
          <w:color w:val="FF0000"/>
        </w:rPr>
      </w:pPr>
    </w:p>
    <w:p w:rsidR="008A3226" w:rsidRDefault="008A3226" w:rsidP="00807064">
      <w:pPr>
        <w:autoSpaceDE w:val="0"/>
        <w:autoSpaceDN w:val="0"/>
        <w:adjustRightInd w:val="0"/>
        <w:spacing w:after="0" w:line="240" w:lineRule="auto"/>
        <w:jc w:val="both"/>
        <w:rPr>
          <w:rFonts w:ascii="Arial" w:hAnsi="Arial" w:cs="Arial"/>
        </w:rPr>
      </w:pPr>
    </w:p>
    <w:p w:rsidR="00DC433F" w:rsidRDefault="00DC433F" w:rsidP="00807064">
      <w:pPr>
        <w:autoSpaceDE w:val="0"/>
        <w:autoSpaceDN w:val="0"/>
        <w:adjustRightInd w:val="0"/>
        <w:spacing w:after="0" w:line="240" w:lineRule="auto"/>
        <w:jc w:val="both"/>
        <w:rPr>
          <w:rFonts w:ascii="Arial" w:hAnsi="Arial" w:cs="Arial"/>
        </w:rPr>
      </w:pPr>
    </w:p>
    <w:p w:rsidR="008A3226" w:rsidRPr="00DD0B55" w:rsidRDefault="008A3226" w:rsidP="00807064">
      <w:pPr>
        <w:autoSpaceDE w:val="0"/>
        <w:autoSpaceDN w:val="0"/>
        <w:adjustRightInd w:val="0"/>
        <w:spacing w:after="0" w:line="240" w:lineRule="auto"/>
        <w:jc w:val="both"/>
        <w:rPr>
          <w:rFonts w:ascii="Arial" w:hAnsi="Arial" w:cs="Arial"/>
        </w:rPr>
      </w:pPr>
    </w:p>
    <w:p w:rsidR="008A3226" w:rsidRDefault="00061D86" w:rsidP="00807064">
      <w:pPr>
        <w:pStyle w:val="SemEspaamento"/>
        <w:rPr>
          <w:rFonts w:ascii="Arial" w:hAnsi="Arial" w:cs="Arial"/>
          <w:b/>
        </w:rPr>
      </w:pPr>
      <w:r>
        <w:rPr>
          <w:rFonts w:ascii="Arial" w:hAnsi="Arial" w:cs="Arial"/>
          <w:b/>
        </w:rPr>
        <w:t>IVA ADRIANA SCHLÖSSER SEGUETO</w:t>
      </w:r>
      <w:r w:rsidR="008A3226" w:rsidRPr="00716B6C">
        <w:rPr>
          <w:rFonts w:ascii="Arial" w:hAnsi="Arial" w:cs="Arial"/>
          <w:b/>
        </w:rPr>
        <w:tab/>
        <w:t xml:space="preserve">                             </w:t>
      </w:r>
      <w:r>
        <w:rPr>
          <w:rFonts w:ascii="Arial" w:hAnsi="Arial" w:cs="Arial"/>
          <w:b/>
        </w:rPr>
        <w:t>DERLI FURTADO</w:t>
      </w:r>
      <w:r w:rsidR="008A3226" w:rsidRPr="00716B6C">
        <w:rPr>
          <w:rFonts w:ascii="Arial" w:hAnsi="Arial" w:cs="Arial"/>
          <w:b/>
        </w:rPr>
        <w:t xml:space="preserve">              </w:t>
      </w:r>
    </w:p>
    <w:p w:rsidR="008A3226" w:rsidRDefault="002D5789" w:rsidP="00DC433F">
      <w:pPr>
        <w:pStyle w:val="SemEspaamento"/>
        <w:rPr>
          <w:rFonts w:ascii="Arial" w:hAnsi="Arial" w:cs="Arial"/>
          <w:b/>
          <w:bCs/>
          <w:color w:val="0070C0"/>
          <w:lang w:val="es-ES_tradnl"/>
        </w:rPr>
      </w:pPr>
      <w:r>
        <w:rPr>
          <w:rFonts w:ascii="Arial" w:hAnsi="Arial" w:cs="Arial"/>
          <w:b/>
          <w:bCs/>
          <w:color w:val="0070C0"/>
          <w:lang w:val="es-ES_tradnl"/>
        </w:rPr>
        <w:tab/>
      </w:r>
      <w:r>
        <w:rPr>
          <w:rFonts w:ascii="Arial" w:hAnsi="Arial" w:cs="Arial"/>
          <w:b/>
          <w:bCs/>
          <w:color w:val="0070C0"/>
          <w:lang w:val="es-ES_tradnl"/>
        </w:rPr>
        <w:tab/>
      </w:r>
      <w:r w:rsidR="00061D86" w:rsidRPr="00061D86">
        <w:rPr>
          <w:rFonts w:ascii="Arial" w:hAnsi="Arial" w:cs="Arial"/>
          <w:b/>
          <w:bCs/>
          <w:lang w:val="es-ES_tradnl"/>
        </w:rPr>
        <w:t>CRC/SC 026497/O-2</w:t>
      </w:r>
      <w:r w:rsidR="00061D86" w:rsidRPr="00061D86">
        <w:rPr>
          <w:rFonts w:ascii="Arial" w:hAnsi="Arial" w:cs="Arial"/>
          <w:b/>
          <w:bCs/>
          <w:lang w:val="es-ES_tradnl"/>
        </w:rPr>
        <w:tab/>
      </w:r>
      <w:r w:rsidR="00061D86">
        <w:rPr>
          <w:rFonts w:ascii="Arial" w:hAnsi="Arial" w:cs="Arial"/>
          <w:b/>
          <w:bCs/>
          <w:color w:val="0070C0"/>
          <w:lang w:val="es-ES_tradnl"/>
        </w:rPr>
        <w:tab/>
      </w:r>
      <w:r w:rsidR="00061D86">
        <w:rPr>
          <w:rFonts w:ascii="Arial" w:hAnsi="Arial" w:cs="Arial"/>
          <w:b/>
          <w:bCs/>
          <w:color w:val="0070C0"/>
          <w:lang w:val="es-ES_tradnl"/>
        </w:rPr>
        <w:tab/>
      </w:r>
      <w:r w:rsidR="00061D86">
        <w:rPr>
          <w:rFonts w:ascii="Arial" w:hAnsi="Arial" w:cs="Arial"/>
          <w:b/>
          <w:bCs/>
          <w:color w:val="0070C0"/>
          <w:lang w:val="es-ES_tradnl"/>
        </w:rPr>
        <w:tab/>
      </w:r>
      <w:r w:rsidR="00061D86">
        <w:rPr>
          <w:rFonts w:ascii="Arial" w:hAnsi="Arial" w:cs="Arial"/>
          <w:b/>
          <w:bCs/>
          <w:color w:val="0070C0"/>
          <w:lang w:val="es-ES_tradnl"/>
        </w:rPr>
        <w:tab/>
      </w:r>
      <w:r w:rsidR="00061D86" w:rsidRPr="00716B6C">
        <w:rPr>
          <w:rFonts w:ascii="Arial" w:hAnsi="Arial" w:cs="Arial"/>
          <w:b/>
        </w:rPr>
        <w:t>PREFEITO</w:t>
      </w:r>
    </w:p>
    <w:sectPr w:rsidR="008A3226" w:rsidSect="00AB5761">
      <w:type w:val="continuous"/>
      <w:pgSz w:w="11906" w:h="16838"/>
      <w:pgMar w:top="1418"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47" w:rsidRDefault="000C6647" w:rsidP="00593AAB">
      <w:pPr>
        <w:spacing w:after="0" w:line="240" w:lineRule="auto"/>
      </w:pPr>
      <w:r>
        <w:separator/>
      </w:r>
    </w:p>
  </w:endnote>
  <w:endnote w:type="continuationSeparator" w:id="0">
    <w:p w:rsidR="000C6647" w:rsidRDefault="000C6647" w:rsidP="0059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Cambria Math"/>
    <w:panose1 w:val="00000000000000000000"/>
    <w:charset w:val="00"/>
    <w:family w:val="swiss"/>
    <w:notTrueType/>
    <w:pitch w:val="default"/>
    <w:sig w:usb0="00000003" w:usb1="00000000" w:usb2="00000000" w:usb3="00000000" w:csb0="00000001" w:csb1="00000000"/>
  </w:font>
  <w:font w:name="Source Sans Pro Light">
    <w:altName w:val="Cambria Math"/>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hnschrift SemiBold">
    <w:altName w:val="Segoe UI"/>
    <w:charset w:val="00"/>
    <w:family w:val="swiss"/>
    <w:pitch w:val="variable"/>
    <w:sig w:usb0="A00002C7" w:usb1="00000002" w:usb2="00000000" w:usb3="00000000" w:csb0="0000019F" w:csb1="00000000"/>
  </w:font>
  <w:font w:name="Bahnschrift">
    <w:altName w:val="Segoe UI"/>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47" w:rsidRDefault="000C6647" w:rsidP="00593AAB">
      <w:pPr>
        <w:spacing w:after="0" w:line="240" w:lineRule="auto"/>
      </w:pPr>
      <w:r>
        <w:separator/>
      </w:r>
    </w:p>
  </w:footnote>
  <w:footnote w:type="continuationSeparator" w:id="0">
    <w:p w:rsidR="000C6647" w:rsidRDefault="000C6647" w:rsidP="00593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7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7922"/>
      <w:gridCol w:w="7922"/>
    </w:tblGrid>
    <w:tr w:rsidR="007349F9" w:rsidTr="00AC2E48">
      <w:trPr>
        <w:trHeight w:val="1560"/>
      </w:trPr>
      <w:tc>
        <w:tcPr>
          <w:tcW w:w="2109" w:type="dxa"/>
        </w:tcPr>
        <w:p w:rsidR="007349F9" w:rsidRDefault="007349F9" w:rsidP="00B6357B">
          <w:pPr>
            <w:pStyle w:val="Cabealho"/>
          </w:pPr>
          <w:r>
            <w:rPr>
              <w:noProof/>
              <w:lang w:eastAsia="pt-BR"/>
            </w:rPr>
            <w:drawing>
              <wp:anchor distT="0" distB="0" distL="114300" distR="114300" simplePos="0" relativeHeight="251659264" behindDoc="0" locked="0" layoutInCell="1" allowOverlap="1">
                <wp:simplePos x="0" y="0"/>
                <wp:positionH relativeFrom="column">
                  <wp:posOffset>-70485</wp:posOffset>
                </wp:positionH>
                <wp:positionV relativeFrom="paragraph">
                  <wp:posOffset>2540</wp:posOffset>
                </wp:positionV>
                <wp:extent cx="858520" cy="953770"/>
                <wp:effectExtent l="0" t="0" r="0" b="0"/>
                <wp:wrapSquare wrapText="bothSides"/>
                <wp:docPr id="9" name="Imagem 9" descr="http://cdn.fecam.com.br/images/municipios/brasao/90x90/santaterezinhadoprogr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ecam.com.br/images/municipios/brasao/90x90/santaterezinhadoprogres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953770"/>
                        </a:xfrm>
                        <a:prstGeom prst="rect">
                          <a:avLst/>
                        </a:prstGeom>
                        <a:noFill/>
                        <a:ln>
                          <a:noFill/>
                        </a:ln>
                      </pic:spPr>
                    </pic:pic>
                  </a:graphicData>
                </a:graphic>
              </wp:anchor>
            </w:drawing>
          </w:r>
        </w:p>
      </w:tc>
      <w:tc>
        <w:tcPr>
          <w:tcW w:w="7922" w:type="dxa"/>
        </w:tcPr>
        <w:p w:rsidR="007349F9" w:rsidRDefault="007349F9" w:rsidP="00B6357B">
          <w:pPr>
            <w:pStyle w:val="Cabealho"/>
            <w:jc w:val="both"/>
            <w:rPr>
              <w:b/>
            </w:rPr>
          </w:pPr>
          <w:r>
            <w:rPr>
              <w:b/>
            </w:rPr>
            <w:t>MUNICÍPIO DE SANTA TEREZINHA DO PROGRESSO, SC</w:t>
          </w:r>
        </w:p>
        <w:p w:rsidR="007349F9" w:rsidRDefault="007349F9" w:rsidP="00B6357B">
          <w:pPr>
            <w:pStyle w:val="Cabealho"/>
            <w:jc w:val="both"/>
            <w:rPr>
              <w:b/>
            </w:rPr>
          </w:pPr>
          <w:r w:rsidRPr="00CE25CD">
            <w:rPr>
              <w:b/>
            </w:rPr>
            <w:t xml:space="preserve">Avenida Tancredo Neves, 337 </w:t>
          </w:r>
          <w:r>
            <w:rPr>
              <w:b/>
            </w:rPr>
            <w:t>–</w:t>
          </w:r>
          <w:r w:rsidRPr="00CE25CD">
            <w:rPr>
              <w:b/>
            </w:rPr>
            <w:t xml:space="preserve"> Centro</w:t>
          </w:r>
        </w:p>
        <w:p w:rsidR="007349F9" w:rsidRDefault="007349F9" w:rsidP="00B6357B">
          <w:pPr>
            <w:pStyle w:val="Cabealho"/>
            <w:jc w:val="both"/>
            <w:rPr>
              <w:b/>
            </w:rPr>
          </w:pPr>
          <w:r>
            <w:rPr>
              <w:b/>
            </w:rPr>
            <w:t>CEP: 89.983-000</w:t>
          </w:r>
        </w:p>
        <w:p w:rsidR="007349F9" w:rsidRDefault="007349F9" w:rsidP="00B6357B">
          <w:pPr>
            <w:pStyle w:val="Cabealho"/>
            <w:jc w:val="both"/>
          </w:pPr>
          <w:r>
            <w:rPr>
              <w:b/>
            </w:rPr>
            <w:t>Telefone: (49) 3657-0001</w:t>
          </w:r>
        </w:p>
      </w:tc>
      <w:tc>
        <w:tcPr>
          <w:tcW w:w="7922" w:type="dxa"/>
        </w:tcPr>
        <w:p w:rsidR="007349F9" w:rsidRDefault="007349F9" w:rsidP="00B6357B">
          <w:pPr>
            <w:pStyle w:val="Cabealho"/>
            <w:jc w:val="both"/>
          </w:pPr>
        </w:p>
      </w:tc>
    </w:tr>
  </w:tbl>
  <w:p w:rsidR="007349F9" w:rsidRDefault="007349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E41"/>
    <w:multiLevelType w:val="multilevel"/>
    <w:tmpl w:val="0DF02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BA16C6"/>
    <w:multiLevelType w:val="multilevel"/>
    <w:tmpl w:val="BB24C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022C74"/>
    <w:multiLevelType w:val="hybridMultilevel"/>
    <w:tmpl w:val="9D4625A6"/>
    <w:lvl w:ilvl="0" w:tplc="389635F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48316B"/>
    <w:multiLevelType w:val="hybridMultilevel"/>
    <w:tmpl w:val="23A27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732ADC"/>
    <w:multiLevelType w:val="hybridMultilevel"/>
    <w:tmpl w:val="21B2ED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E16F31"/>
    <w:multiLevelType w:val="multilevel"/>
    <w:tmpl w:val="F318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8778D"/>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E3DF7"/>
    <w:multiLevelType w:val="hybridMultilevel"/>
    <w:tmpl w:val="7E564DD0"/>
    <w:lvl w:ilvl="0" w:tplc="A476F256">
      <w:start w:val="1"/>
      <w:numFmt w:val="lowerLetter"/>
      <w:lvlText w:val="%1)"/>
      <w:lvlJc w:val="left"/>
      <w:pPr>
        <w:ind w:left="720" w:hanging="360"/>
      </w:pPr>
      <w:rPr>
        <w:rFonts w:ascii="Segoe Script" w:hAnsi="Segoe Scrip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A11C34"/>
    <w:multiLevelType w:val="hybridMultilevel"/>
    <w:tmpl w:val="AB5EA43E"/>
    <w:lvl w:ilvl="0" w:tplc="1DC6B01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26803E23"/>
    <w:multiLevelType w:val="hybridMultilevel"/>
    <w:tmpl w:val="8182B66C"/>
    <w:lvl w:ilvl="0" w:tplc="C4163228">
      <w:start w:val="1"/>
      <w:numFmt w:val="decimal"/>
      <w:lvlText w:val="%1"/>
      <w:lvlJc w:val="left"/>
      <w:pPr>
        <w:ind w:left="720" w:hanging="360"/>
      </w:pPr>
      <w:rPr>
        <w:rFonts w:hint="default"/>
        <w:color w:val="215868" w:themeColor="accent5"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3459B7"/>
    <w:multiLevelType w:val="multilevel"/>
    <w:tmpl w:val="030EA816"/>
    <w:lvl w:ilvl="0">
      <w:start w:val="1"/>
      <w:numFmt w:val="decimal"/>
      <w:lvlText w:val="%1"/>
      <w:lvlJc w:val="left"/>
      <w:pPr>
        <w:ind w:left="405" w:hanging="405"/>
      </w:pPr>
      <w:rPr>
        <w:rFonts w:hint="default"/>
        <w:color w:val="215868" w:themeColor="accent5" w:themeShade="80"/>
      </w:rPr>
    </w:lvl>
    <w:lvl w:ilvl="1">
      <w:start w:val="1"/>
      <w:numFmt w:val="decimal"/>
      <w:lvlText w:val="%1.%2"/>
      <w:lvlJc w:val="left"/>
      <w:pPr>
        <w:ind w:left="405" w:hanging="405"/>
      </w:pPr>
      <w:rPr>
        <w:rFonts w:hint="default"/>
        <w:color w:val="215868" w:themeColor="accent5" w:themeShade="80"/>
      </w:rPr>
    </w:lvl>
    <w:lvl w:ilvl="2">
      <w:start w:val="1"/>
      <w:numFmt w:val="decimal"/>
      <w:lvlText w:val="%1.%2.%3"/>
      <w:lvlJc w:val="left"/>
      <w:pPr>
        <w:ind w:left="720" w:hanging="720"/>
      </w:pPr>
      <w:rPr>
        <w:rFonts w:hint="default"/>
        <w:color w:val="215868" w:themeColor="accent5" w:themeShade="80"/>
      </w:rPr>
    </w:lvl>
    <w:lvl w:ilvl="3">
      <w:start w:val="1"/>
      <w:numFmt w:val="decimal"/>
      <w:lvlText w:val="%1.%2.%3.%4"/>
      <w:lvlJc w:val="left"/>
      <w:pPr>
        <w:ind w:left="1080" w:hanging="1080"/>
      </w:pPr>
      <w:rPr>
        <w:rFonts w:hint="default"/>
        <w:color w:val="215868" w:themeColor="accent5" w:themeShade="80"/>
      </w:rPr>
    </w:lvl>
    <w:lvl w:ilvl="4">
      <w:start w:val="1"/>
      <w:numFmt w:val="decimal"/>
      <w:lvlText w:val="%1.%2.%3.%4.%5"/>
      <w:lvlJc w:val="left"/>
      <w:pPr>
        <w:ind w:left="1080" w:hanging="1080"/>
      </w:pPr>
      <w:rPr>
        <w:rFonts w:hint="default"/>
        <w:color w:val="215868" w:themeColor="accent5" w:themeShade="80"/>
      </w:rPr>
    </w:lvl>
    <w:lvl w:ilvl="5">
      <w:start w:val="1"/>
      <w:numFmt w:val="decimalZero"/>
      <w:lvlText w:val="%1.%2.%3.%4.%5.%6"/>
      <w:lvlJc w:val="left"/>
      <w:pPr>
        <w:ind w:left="1440" w:hanging="1440"/>
      </w:pPr>
      <w:rPr>
        <w:rFonts w:hint="default"/>
        <w:color w:val="215868" w:themeColor="accent5" w:themeShade="80"/>
      </w:rPr>
    </w:lvl>
    <w:lvl w:ilvl="6">
      <w:start w:val="1"/>
      <w:numFmt w:val="decimal"/>
      <w:lvlText w:val="%1.%2.%3.%4.%5.%6.%7"/>
      <w:lvlJc w:val="left"/>
      <w:pPr>
        <w:ind w:left="1440" w:hanging="1440"/>
      </w:pPr>
      <w:rPr>
        <w:rFonts w:hint="default"/>
        <w:color w:val="215868" w:themeColor="accent5" w:themeShade="80"/>
      </w:rPr>
    </w:lvl>
    <w:lvl w:ilvl="7">
      <w:start w:val="1"/>
      <w:numFmt w:val="decimal"/>
      <w:lvlText w:val="%1.%2.%3.%4.%5.%6.%7.%8"/>
      <w:lvlJc w:val="left"/>
      <w:pPr>
        <w:ind w:left="1800" w:hanging="1800"/>
      </w:pPr>
      <w:rPr>
        <w:rFonts w:hint="default"/>
        <w:color w:val="215868" w:themeColor="accent5" w:themeShade="80"/>
      </w:rPr>
    </w:lvl>
    <w:lvl w:ilvl="8">
      <w:start w:val="1"/>
      <w:numFmt w:val="decimal"/>
      <w:lvlText w:val="%1.%2.%3.%4.%5.%6.%7.%8.%9"/>
      <w:lvlJc w:val="left"/>
      <w:pPr>
        <w:ind w:left="1800" w:hanging="1800"/>
      </w:pPr>
      <w:rPr>
        <w:rFonts w:hint="default"/>
        <w:color w:val="215868" w:themeColor="accent5" w:themeShade="80"/>
      </w:rPr>
    </w:lvl>
  </w:abstractNum>
  <w:abstractNum w:abstractNumId="11">
    <w:nsid w:val="2DAB3F21"/>
    <w:multiLevelType w:val="hybridMultilevel"/>
    <w:tmpl w:val="4740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354236"/>
    <w:multiLevelType w:val="hybridMultilevel"/>
    <w:tmpl w:val="7FDEF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DF5B69"/>
    <w:multiLevelType w:val="hybridMultilevel"/>
    <w:tmpl w:val="F658259C"/>
    <w:lvl w:ilvl="0" w:tplc="75C8F9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FC404F"/>
    <w:multiLevelType w:val="multilevel"/>
    <w:tmpl w:val="9C2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C1676E"/>
    <w:multiLevelType w:val="multilevel"/>
    <w:tmpl w:val="8B92F2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B4C5A42"/>
    <w:multiLevelType w:val="hybridMultilevel"/>
    <w:tmpl w:val="68D40FB0"/>
    <w:lvl w:ilvl="0" w:tplc="58B0E1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03667EC"/>
    <w:multiLevelType w:val="hybridMultilevel"/>
    <w:tmpl w:val="BF3E54E8"/>
    <w:lvl w:ilvl="0" w:tplc="8A288018">
      <w:numFmt w:val="bullet"/>
      <w:lvlText w:val=""/>
      <w:lvlJc w:val="left"/>
      <w:pPr>
        <w:ind w:left="1065" w:hanging="360"/>
      </w:pPr>
      <w:rPr>
        <w:rFonts w:ascii="Wingdings" w:eastAsiaTheme="minorHAnsi" w:hAnsi="Wingdings"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8">
    <w:nsid w:val="537C7E65"/>
    <w:multiLevelType w:val="multilevel"/>
    <w:tmpl w:val="6E8455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C81EEA"/>
    <w:multiLevelType w:val="multilevel"/>
    <w:tmpl w:val="68329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D8D37C7"/>
    <w:multiLevelType w:val="hybridMultilevel"/>
    <w:tmpl w:val="14A8C8EA"/>
    <w:lvl w:ilvl="0" w:tplc="04160017">
      <w:start w:val="1"/>
      <w:numFmt w:val="lowerLetter"/>
      <w:lvlText w:val="%1)"/>
      <w:lvlJc w:val="left"/>
      <w:pPr>
        <w:ind w:left="1000" w:hanging="360"/>
      </w:pPr>
    </w:lvl>
    <w:lvl w:ilvl="1" w:tplc="04160019" w:tentative="1">
      <w:start w:val="1"/>
      <w:numFmt w:val="lowerLetter"/>
      <w:lvlText w:val="%2."/>
      <w:lvlJc w:val="left"/>
      <w:pPr>
        <w:ind w:left="1720" w:hanging="360"/>
      </w:pPr>
    </w:lvl>
    <w:lvl w:ilvl="2" w:tplc="0416001B" w:tentative="1">
      <w:start w:val="1"/>
      <w:numFmt w:val="lowerRoman"/>
      <w:lvlText w:val="%3."/>
      <w:lvlJc w:val="right"/>
      <w:pPr>
        <w:ind w:left="2440" w:hanging="180"/>
      </w:pPr>
    </w:lvl>
    <w:lvl w:ilvl="3" w:tplc="0416000F" w:tentative="1">
      <w:start w:val="1"/>
      <w:numFmt w:val="decimal"/>
      <w:lvlText w:val="%4."/>
      <w:lvlJc w:val="left"/>
      <w:pPr>
        <w:ind w:left="3160" w:hanging="360"/>
      </w:pPr>
    </w:lvl>
    <w:lvl w:ilvl="4" w:tplc="04160019" w:tentative="1">
      <w:start w:val="1"/>
      <w:numFmt w:val="lowerLetter"/>
      <w:lvlText w:val="%5."/>
      <w:lvlJc w:val="left"/>
      <w:pPr>
        <w:ind w:left="3880" w:hanging="360"/>
      </w:pPr>
    </w:lvl>
    <w:lvl w:ilvl="5" w:tplc="0416001B" w:tentative="1">
      <w:start w:val="1"/>
      <w:numFmt w:val="lowerRoman"/>
      <w:lvlText w:val="%6."/>
      <w:lvlJc w:val="right"/>
      <w:pPr>
        <w:ind w:left="4600" w:hanging="180"/>
      </w:pPr>
    </w:lvl>
    <w:lvl w:ilvl="6" w:tplc="0416000F" w:tentative="1">
      <w:start w:val="1"/>
      <w:numFmt w:val="decimal"/>
      <w:lvlText w:val="%7."/>
      <w:lvlJc w:val="left"/>
      <w:pPr>
        <w:ind w:left="5320" w:hanging="360"/>
      </w:pPr>
    </w:lvl>
    <w:lvl w:ilvl="7" w:tplc="04160019" w:tentative="1">
      <w:start w:val="1"/>
      <w:numFmt w:val="lowerLetter"/>
      <w:lvlText w:val="%8."/>
      <w:lvlJc w:val="left"/>
      <w:pPr>
        <w:ind w:left="6040" w:hanging="360"/>
      </w:pPr>
    </w:lvl>
    <w:lvl w:ilvl="8" w:tplc="0416001B" w:tentative="1">
      <w:start w:val="1"/>
      <w:numFmt w:val="lowerRoman"/>
      <w:lvlText w:val="%9."/>
      <w:lvlJc w:val="right"/>
      <w:pPr>
        <w:ind w:left="6760" w:hanging="180"/>
      </w:pPr>
    </w:lvl>
  </w:abstractNum>
  <w:abstractNum w:abstractNumId="21">
    <w:nsid w:val="6A447DBB"/>
    <w:multiLevelType w:val="hybridMultilevel"/>
    <w:tmpl w:val="B29CB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AC6EE5"/>
    <w:multiLevelType w:val="hybridMultilevel"/>
    <w:tmpl w:val="F416B43E"/>
    <w:lvl w:ilvl="0" w:tplc="8A624F3A">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CBF0C09"/>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73B82"/>
    <w:multiLevelType w:val="hybridMultilevel"/>
    <w:tmpl w:val="E9CE28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0"/>
  </w:num>
  <w:num w:numId="3">
    <w:abstractNumId w:val="6"/>
  </w:num>
  <w:num w:numId="4">
    <w:abstractNumId w:val="14"/>
  </w:num>
  <w:num w:numId="5">
    <w:abstractNumId w:val="5"/>
  </w:num>
  <w:num w:numId="6">
    <w:abstractNumId w:val="23"/>
  </w:num>
  <w:num w:numId="7">
    <w:abstractNumId w:val="15"/>
  </w:num>
  <w:num w:numId="8">
    <w:abstractNumId w:val="18"/>
  </w:num>
  <w:num w:numId="9">
    <w:abstractNumId w:val="11"/>
  </w:num>
  <w:num w:numId="10">
    <w:abstractNumId w:val="13"/>
  </w:num>
  <w:num w:numId="11">
    <w:abstractNumId w:val="2"/>
  </w:num>
  <w:num w:numId="12">
    <w:abstractNumId w:val="0"/>
  </w:num>
  <w:num w:numId="13">
    <w:abstractNumId w:val="1"/>
  </w:num>
  <w:num w:numId="14">
    <w:abstractNumId w:val="19"/>
  </w:num>
  <w:num w:numId="15">
    <w:abstractNumId w:val="21"/>
  </w:num>
  <w:num w:numId="16">
    <w:abstractNumId w:val="12"/>
  </w:num>
  <w:num w:numId="17">
    <w:abstractNumId w:val="7"/>
  </w:num>
  <w:num w:numId="18">
    <w:abstractNumId w:val="24"/>
  </w:num>
  <w:num w:numId="19">
    <w:abstractNumId w:val="10"/>
  </w:num>
  <w:num w:numId="20">
    <w:abstractNumId w:val="17"/>
  </w:num>
  <w:num w:numId="21">
    <w:abstractNumId w:val="8"/>
  </w:num>
  <w:num w:numId="22">
    <w:abstractNumId w:val="3"/>
  </w:num>
  <w:num w:numId="23">
    <w:abstractNumId w:val="16"/>
  </w:num>
  <w:num w:numId="24">
    <w:abstractNumId w:val="9"/>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88"/>
    <w:rsid w:val="000001A1"/>
    <w:rsid w:val="00002417"/>
    <w:rsid w:val="000024FF"/>
    <w:rsid w:val="00004B40"/>
    <w:rsid w:val="00011237"/>
    <w:rsid w:val="00015778"/>
    <w:rsid w:val="000202AD"/>
    <w:rsid w:val="00020471"/>
    <w:rsid w:val="00020A25"/>
    <w:rsid w:val="0003004F"/>
    <w:rsid w:val="000331D5"/>
    <w:rsid w:val="00034636"/>
    <w:rsid w:val="00034B81"/>
    <w:rsid w:val="00035BAC"/>
    <w:rsid w:val="00035EC3"/>
    <w:rsid w:val="000439F3"/>
    <w:rsid w:val="000444E5"/>
    <w:rsid w:val="00051DC3"/>
    <w:rsid w:val="00051E96"/>
    <w:rsid w:val="00055044"/>
    <w:rsid w:val="00055CA0"/>
    <w:rsid w:val="0005625A"/>
    <w:rsid w:val="00056B91"/>
    <w:rsid w:val="00060096"/>
    <w:rsid w:val="00060291"/>
    <w:rsid w:val="00060396"/>
    <w:rsid w:val="00061D86"/>
    <w:rsid w:val="000630ED"/>
    <w:rsid w:val="000678CB"/>
    <w:rsid w:val="00071009"/>
    <w:rsid w:val="00072A9A"/>
    <w:rsid w:val="000805E5"/>
    <w:rsid w:val="00081148"/>
    <w:rsid w:val="00082DF2"/>
    <w:rsid w:val="000842D3"/>
    <w:rsid w:val="000850A6"/>
    <w:rsid w:val="0009226F"/>
    <w:rsid w:val="000A1263"/>
    <w:rsid w:val="000A2337"/>
    <w:rsid w:val="000A2774"/>
    <w:rsid w:val="000A41F0"/>
    <w:rsid w:val="000B0355"/>
    <w:rsid w:val="000B04B8"/>
    <w:rsid w:val="000B2A4E"/>
    <w:rsid w:val="000B3C0D"/>
    <w:rsid w:val="000B4E1B"/>
    <w:rsid w:val="000B757D"/>
    <w:rsid w:val="000B7AA9"/>
    <w:rsid w:val="000C16DB"/>
    <w:rsid w:val="000C1F97"/>
    <w:rsid w:val="000C46AF"/>
    <w:rsid w:val="000C6647"/>
    <w:rsid w:val="000C76F3"/>
    <w:rsid w:val="000D45B7"/>
    <w:rsid w:val="000D5731"/>
    <w:rsid w:val="000D6627"/>
    <w:rsid w:val="000D6CF1"/>
    <w:rsid w:val="000E008D"/>
    <w:rsid w:val="000F330A"/>
    <w:rsid w:val="000F6C86"/>
    <w:rsid w:val="000F7755"/>
    <w:rsid w:val="00102E16"/>
    <w:rsid w:val="0010329C"/>
    <w:rsid w:val="0010357B"/>
    <w:rsid w:val="001041C9"/>
    <w:rsid w:val="00104F48"/>
    <w:rsid w:val="00113BB9"/>
    <w:rsid w:val="00117F8D"/>
    <w:rsid w:val="001267FB"/>
    <w:rsid w:val="0012699A"/>
    <w:rsid w:val="00126F46"/>
    <w:rsid w:val="00130362"/>
    <w:rsid w:val="00130FCA"/>
    <w:rsid w:val="00140A18"/>
    <w:rsid w:val="001419CB"/>
    <w:rsid w:val="00143E39"/>
    <w:rsid w:val="001444CE"/>
    <w:rsid w:val="00144BCC"/>
    <w:rsid w:val="00147996"/>
    <w:rsid w:val="00147F62"/>
    <w:rsid w:val="001512B8"/>
    <w:rsid w:val="00151C72"/>
    <w:rsid w:val="001526D1"/>
    <w:rsid w:val="00152D14"/>
    <w:rsid w:val="0015408F"/>
    <w:rsid w:val="0015591C"/>
    <w:rsid w:val="00155EEC"/>
    <w:rsid w:val="00155FFA"/>
    <w:rsid w:val="00156DDA"/>
    <w:rsid w:val="00160074"/>
    <w:rsid w:val="001627C2"/>
    <w:rsid w:val="00162900"/>
    <w:rsid w:val="00166AAB"/>
    <w:rsid w:val="0016708B"/>
    <w:rsid w:val="00167280"/>
    <w:rsid w:val="001702C2"/>
    <w:rsid w:val="00173219"/>
    <w:rsid w:val="001736C4"/>
    <w:rsid w:val="00173F50"/>
    <w:rsid w:val="0017548B"/>
    <w:rsid w:val="00175D6F"/>
    <w:rsid w:val="001775B2"/>
    <w:rsid w:val="00183163"/>
    <w:rsid w:val="001902E7"/>
    <w:rsid w:val="00191812"/>
    <w:rsid w:val="00191A4A"/>
    <w:rsid w:val="00193293"/>
    <w:rsid w:val="00193CF9"/>
    <w:rsid w:val="00195922"/>
    <w:rsid w:val="001A008C"/>
    <w:rsid w:val="001A0F1B"/>
    <w:rsid w:val="001A11F7"/>
    <w:rsid w:val="001A12E6"/>
    <w:rsid w:val="001A6293"/>
    <w:rsid w:val="001A62E5"/>
    <w:rsid w:val="001A6DC7"/>
    <w:rsid w:val="001B768F"/>
    <w:rsid w:val="001B7839"/>
    <w:rsid w:val="001C29E6"/>
    <w:rsid w:val="001C40AA"/>
    <w:rsid w:val="001C5243"/>
    <w:rsid w:val="001C57CF"/>
    <w:rsid w:val="001C6822"/>
    <w:rsid w:val="001C782F"/>
    <w:rsid w:val="001D4FFB"/>
    <w:rsid w:val="001D56DC"/>
    <w:rsid w:val="001E0BD2"/>
    <w:rsid w:val="001E3B35"/>
    <w:rsid w:val="001E4996"/>
    <w:rsid w:val="001E5ECE"/>
    <w:rsid w:val="001F3191"/>
    <w:rsid w:val="0020019E"/>
    <w:rsid w:val="00200663"/>
    <w:rsid w:val="00200E4D"/>
    <w:rsid w:val="00204662"/>
    <w:rsid w:val="00204694"/>
    <w:rsid w:val="0021407E"/>
    <w:rsid w:val="00214563"/>
    <w:rsid w:val="002158E2"/>
    <w:rsid w:val="002177D8"/>
    <w:rsid w:val="00220479"/>
    <w:rsid w:val="00221DAC"/>
    <w:rsid w:val="002260FC"/>
    <w:rsid w:val="00232709"/>
    <w:rsid w:val="00233B44"/>
    <w:rsid w:val="00235924"/>
    <w:rsid w:val="00236464"/>
    <w:rsid w:val="00237D0B"/>
    <w:rsid w:val="0024037D"/>
    <w:rsid w:val="00241585"/>
    <w:rsid w:val="00241D39"/>
    <w:rsid w:val="00242BA4"/>
    <w:rsid w:val="00246024"/>
    <w:rsid w:val="00247251"/>
    <w:rsid w:val="002479C1"/>
    <w:rsid w:val="00247E2E"/>
    <w:rsid w:val="00250B2B"/>
    <w:rsid w:val="00250ED5"/>
    <w:rsid w:val="00251C87"/>
    <w:rsid w:val="0025265B"/>
    <w:rsid w:val="00253235"/>
    <w:rsid w:val="00260164"/>
    <w:rsid w:val="0026351F"/>
    <w:rsid w:val="00263A2F"/>
    <w:rsid w:val="0027246C"/>
    <w:rsid w:val="002751EF"/>
    <w:rsid w:val="00275834"/>
    <w:rsid w:val="0028235C"/>
    <w:rsid w:val="00284517"/>
    <w:rsid w:val="00295397"/>
    <w:rsid w:val="0029574D"/>
    <w:rsid w:val="002A2293"/>
    <w:rsid w:val="002A59D0"/>
    <w:rsid w:val="002B0180"/>
    <w:rsid w:val="002B0838"/>
    <w:rsid w:val="002B09EB"/>
    <w:rsid w:val="002B39D6"/>
    <w:rsid w:val="002B647D"/>
    <w:rsid w:val="002B6A56"/>
    <w:rsid w:val="002B7B6D"/>
    <w:rsid w:val="002C1016"/>
    <w:rsid w:val="002C35C3"/>
    <w:rsid w:val="002C6F34"/>
    <w:rsid w:val="002C76AA"/>
    <w:rsid w:val="002D2FAE"/>
    <w:rsid w:val="002D55DC"/>
    <w:rsid w:val="002D5789"/>
    <w:rsid w:val="002D7D71"/>
    <w:rsid w:val="002D7DB6"/>
    <w:rsid w:val="002E03EC"/>
    <w:rsid w:val="002E1D23"/>
    <w:rsid w:val="002E2E99"/>
    <w:rsid w:val="002E30D0"/>
    <w:rsid w:val="002E3FBC"/>
    <w:rsid w:val="002E7832"/>
    <w:rsid w:val="002F070A"/>
    <w:rsid w:val="002F2541"/>
    <w:rsid w:val="002F34D6"/>
    <w:rsid w:val="002F5B55"/>
    <w:rsid w:val="002F7E2C"/>
    <w:rsid w:val="003045BE"/>
    <w:rsid w:val="0030502F"/>
    <w:rsid w:val="003077BA"/>
    <w:rsid w:val="00313DBF"/>
    <w:rsid w:val="00320CB3"/>
    <w:rsid w:val="0032339B"/>
    <w:rsid w:val="003243A3"/>
    <w:rsid w:val="0032544A"/>
    <w:rsid w:val="0032702C"/>
    <w:rsid w:val="003303AE"/>
    <w:rsid w:val="003324B7"/>
    <w:rsid w:val="00333898"/>
    <w:rsid w:val="00334449"/>
    <w:rsid w:val="00336A4D"/>
    <w:rsid w:val="003415FF"/>
    <w:rsid w:val="0034286F"/>
    <w:rsid w:val="00342E82"/>
    <w:rsid w:val="003450D0"/>
    <w:rsid w:val="00346053"/>
    <w:rsid w:val="00347FB6"/>
    <w:rsid w:val="00351D29"/>
    <w:rsid w:val="003525C8"/>
    <w:rsid w:val="00352BCA"/>
    <w:rsid w:val="00353F38"/>
    <w:rsid w:val="00354D18"/>
    <w:rsid w:val="00363660"/>
    <w:rsid w:val="0037410D"/>
    <w:rsid w:val="00376C88"/>
    <w:rsid w:val="00376F5C"/>
    <w:rsid w:val="00380BFF"/>
    <w:rsid w:val="00380EA9"/>
    <w:rsid w:val="00382831"/>
    <w:rsid w:val="00383690"/>
    <w:rsid w:val="003877AE"/>
    <w:rsid w:val="00391DA1"/>
    <w:rsid w:val="00394DDE"/>
    <w:rsid w:val="00395B3C"/>
    <w:rsid w:val="003A1177"/>
    <w:rsid w:val="003A142B"/>
    <w:rsid w:val="003A6484"/>
    <w:rsid w:val="003A707B"/>
    <w:rsid w:val="003A75D4"/>
    <w:rsid w:val="003A7A1F"/>
    <w:rsid w:val="003B0030"/>
    <w:rsid w:val="003B348C"/>
    <w:rsid w:val="003B3E3D"/>
    <w:rsid w:val="003B6DC6"/>
    <w:rsid w:val="003B7928"/>
    <w:rsid w:val="003C4C07"/>
    <w:rsid w:val="003D438E"/>
    <w:rsid w:val="003D55FA"/>
    <w:rsid w:val="003D7613"/>
    <w:rsid w:val="003E12B3"/>
    <w:rsid w:val="003E4C6F"/>
    <w:rsid w:val="003E4F35"/>
    <w:rsid w:val="003E51ED"/>
    <w:rsid w:val="003E661C"/>
    <w:rsid w:val="003E7624"/>
    <w:rsid w:val="003F250A"/>
    <w:rsid w:val="003F5DF8"/>
    <w:rsid w:val="003F68EB"/>
    <w:rsid w:val="004013F7"/>
    <w:rsid w:val="004033FD"/>
    <w:rsid w:val="00405375"/>
    <w:rsid w:val="004058D8"/>
    <w:rsid w:val="004113E6"/>
    <w:rsid w:val="004116B9"/>
    <w:rsid w:val="0041260E"/>
    <w:rsid w:val="004143CF"/>
    <w:rsid w:val="00421DFD"/>
    <w:rsid w:val="00422D81"/>
    <w:rsid w:val="004232F4"/>
    <w:rsid w:val="00426C75"/>
    <w:rsid w:val="00426F2E"/>
    <w:rsid w:val="00430C14"/>
    <w:rsid w:val="004438BC"/>
    <w:rsid w:val="00445DB9"/>
    <w:rsid w:val="004513FF"/>
    <w:rsid w:val="004522BA"/>
    <w:rsid w:val="0045508C"/>
    <w:rsid w:val="00461439"/>
    <w:rsid w:val="00461CA5"/>
    <w:rsid w:val="00463372"/>
    <w:rsid w:val="00467922"/>
    <w:rsid w:val="00467EE2"/>
    <w:rsid w:val="00467F85"/>
    <w:rsid w:val="00471C3C"/>
    <w:rsid w:val="0047544C"/>
    <w:rsid w:val="00475B68"/>
    <w:rsid w:val="00476032"/>
    <w:rsid w:val="0048387F"/>
    <w:rsid w:val="0048543E"/>
    <w:rsid w:val="00487B11"/>
    <w:rsid w:val="00490B26"/>
    <w:rsid w:val="00491A6C"/>
    <w:rsid w:val="004953C1"/>
    <w:rsid w:val="00495D46"/>
    <w:rsid w:val="00496382"/>
    <w:rsid w:val="004A11D8"/>
    <w:rsid w:val="004A1663"/>
    <w:rsid w:val="004A566D"/>
    <w:rsid w:val="004A60BA"/>
    <w:rsid w:val="004A6EC7"/>
    <w:rsid w:val="004A7BE9"/>
    <w:rsid w:val="004B057C"/>
    <w:rsid w:val="004B05C5"/>
    <w:rsid w:val="004B6833"/>
    <w:rsid w:val="004B7D60"/>
    <w:rsid w:val="004C0266"/>
    <w:rsid w:val="004C06DF"/>
    <w:rsid w:val="004C34DD"/>
    <w:rsid w:val="004C6F74"/>
    <w:rsid w:val="004C770D"/>
    <w:rsid w:val="004D1052"/>
    <w:rsid w:val="004D4458"/>
    <w:rsid w:val="004D5413"/>
    <w:rsid w:val="004D7C7A"/>
    <w:rsid w:val="004E29D7"/>
    <w:rsid w:val="004F3763"/>
    <w:rsid w:val="004F6719"/>
    <w:rsid w:val="004F6791"/>
    <w:rsid w:val="005027A8"/>
    <w:rsid w:val="005070EC"/>
    <w:rsid w:val="0052516C"/>
    <w:rsid w:val="00527F0C"/>
    <w:rsid w:val="00535490"/>
    <w:rsid w:val="005370B5"/>
    <w:rsid w:val="005428E3"/>
    <w:rsid w:val="00542F8A"/>
    <w:rsid w:val="00543208"/>
    <w:rsid w:val="0054489F"/>
    <w:rsid w:val="00544947"/>
    <w:rsid w:val="00544CEA"/>
    <w:rsid w:val="00544DC0"/>
    <w:rsid w:val="00545087"/>
    <w:rsid w:val="005461E0"/>
    <w:rsid w:val="005564A4"/>
    <w:rsid w:val="00556C23"/>
    <w:rsid w:val="005574CF"/>
    <w:rsid w:val="00560CF6"/>
    <w:rsid w:val="00561DBF"/>
    <w:rsid w:val="0056497B"/>
    <w:rsid w:val="00564C54"/>
    <w:rsid w:val="00565C2E"/>
    <w:rsid w:val="00577E79"/>
    <w:rsid w:val="005812E6"/>
    <w:rsid w:val="005817C7"/>
    <w:rsid w:val="005854F0"/>
    <w:rsid w:val="00587BBF"/>
    <w:rsid w:val="00591FF0"/>
    <w:rsid w:val="0059254C"/>
    <w:rsid w:val="00593AAB"/>
    <w:rsid w:val="005949C7"/>
    <w:rsid w:val="005951D6"/>
    <w:rsid w:val="00597268"/>
    <w:rsid w:val="005A025A"/>
    <w:rsid w:val="005A0557"/>
    <w:rsid w:val="005A1DBF"/>
    <w:rsid w:val="005A4F32"/>
    <w:rsid w:val="005A63BA"/>
    <w:rsid w:val="005A79AB"/>
    <w:rsid w:val="005B0526"/>
    <w:rsid w:val="005B2D94"/>
    <w:rsid w:val="005B3E63"/>
    <w:rsid w:val="005B61C8"/>
    <w:rsid w:val="005B63B9"/>
    <w:rsid w:val="005D0D97"/>
    <w:rsid w:val="005D16A7"/>
    <w:rsid w:val="005D1FE7"/>
    <w:rsid w:val="005D213D"/>
    <w:rsid w:val="005D2CCD"/>
    <w:rsid w:val="005D415A"/>
    <w:rsid w:val="005D6CAA"/>
    <w:rsid w:val="005E02CA"/>
    <w:rsid w:val="005E10AA"/>
    <w:rsid w:val="005E1134"/>
    <w:rsid w:val="005E6BBC"/>
    <w:rsid w:val="005F0BD0"/>
    <w:rsid w:val="005F1374"/>
    <w:rsid w:val="005F1451"/>
    <w:rsid w:val="005F1CEE"/>
    <w:rsid w:val="005F2CB3"/>
    <w:rsid w:val="005F537A"/>
    <w:rsid w:val="006005DB"/>
    <w:rsid w:val="0060195B"/>
    <w:rsid w:val="00603641"/>
    <w:rsid w:val="00604E41"/>
    <w:rsid w:val="006069EB"/>
    <w:rsid w:val="0060731E"/>
    <w:rsid w:val="006075D1"/>
    <w:rsid w:val="006162F4"/>
    <w:rsid w:val="0061739C"/>
    <w:rsid w:val="00621245"/>
    <w:rsid w:val="006225F3"/>
    <w:rsid w:val="00622D87"/>
    <w:rsid w:val="00625F86"/>
    <w:rsid w:val="006278CD"/>
    <w:rsid w:val="00630DAA"/>
    <w:rsid w:val="0063743D"/>
    <w:rsid w:val="00637610"/>
    <w:rsid w:val="00640FFA"/>
    <w:rsid w:val="00643C3D"/>
    <w:rsid w:val="0064432E"/>
    <w:rsid w:val="00645C64"/>
    <w:rsid w:val="0065608C"/>
    <w:rsid w:val="0065737A"/>
    <w:rsid w:val="00660ABF"/>
    <w:rsid w:val="006670E9"/>
    <w:rsid w:val="00667AE1"/>
    <w:rsid w:val="0067090F"/>
    <w:rsid w:val="00671BF9"/>
    <w:rsid w:val="006733DA"/>
    <w:rsid w:val="00674F19"/>
    <w:rsid w:val="00686682"/>
    <w:rsid w:val="0068774D"/>
    <w:rsid w:val="00696DF5"/>
    <w:rsid w:val="006971B1"/>
    <w:rsid w:val="006A4AA6"/>
    <w:rsid w:val="006A53A6"/>
    <w:rsid w:val="006B6B1E"/>
    <w:rsid w:val="006C0018"/>
    <w:rsid w:val="006D039B"/>
    <w:rsid w:val="006D0EE7"/>
    <w:rsid w:val="006D2D13"/>
    <w:rsid w:val="006D38F0"/>
    <w:rsid w:val="006D486E"/>
    <w:rsid w:val="006D66DC"/>
    <w:rsid w:val="006E1D07"/>
    <w:rsid w:val="006E44D9"/>
    <w:rsid w:val="006E4BFE"/>
    <w:rsid w:val="006E5B04"/>
    <w:rsid w:val="006E65A3"/>
    <w:rsid w:val="006E7B02"/>
    <w:rsid w:val="006F4ED2"/>
    <w:rsid w:val="006F6D84"/>
    <w:rsid w:val="0070232D"/>
    <w:rsid w:val="0070406E"/>
    <w:rsid w:val="007048D1"/>
    <w:rsid w:val="00704DF7"/>
    <w:rsid w:val="007114C6"/>
    <w:rsid w:val="00716B6C"/>
    <w:rsid w:val="007223EE"/>
    <w:rsid w:val="00724CAF"/>
    <w:rsid w:val="00725E2B"/>
    <w:rsid w:val="007260E4"/>
    <w:rsid w:val="00727D8C"/>
    <w:rsid w:val="00730D7E"/>
    <w:rsid w:val="0073120C"/>
    <w:rsid w:val="007314DF"/>
    <w:rsid w:val="00731D54"/>
    <w:rsid w:val="00733D94"/>
    <w:rsid w:val="007349F9"/>
    <w:rsid w:val="00735448"/>
    <w:rsid w:val="007427C0"/>
    <w:rsid w:val="00745D2E"/>
    <w:rsid w:val="0074775A"/>
    <w:rsid w:val="00747F25"/>
    <w:rsid w:val="007527C6"/>
    <w:rsid w:val="00752A68"/>
    <w:rsid w:val="007530C5"/>
    <w:rsid w:val="00755410"/>
    <w:rsid w:val="00756F54"/>
    <w:rsid w:val="0075701A"/>
    <w:rsid w:val="00757BDC"/>
    <w:rsid w:val="00760257"/>
    <w:rsid w:val="00760510"/>
    <w:rsid w:val="00763151"/>
    <w:rsid w:val="00764DF2"/>
    <w:rsid w:val="007656E7"/>
    <w:rsid w:val="00770A50"/>
    <w:rsid w:val="00770D57"/>
    <w:rsid w:val="00770DD1"/>
    <w:rsid w:val="007718A1"/>
    <w:rsid w:val="007752DB"/>
    <w:rsid w:val="00775A77"/>
    <w:rsid w:val="0077626D"/>
    <w:rsid w:val="00777BDF"/>
    <w:rsid w:val="00780176"/>
    <w:rsid w:val="00780CC3"/>
    <w:rsid w:val="00781BAF"/>
    <w:rsid w:val="00781C82"/>
    <w:rsid w:val="00781EAF"/>
    <w:rsid w:val="00781F22"/>
    <w:rsid w:val="007825F2"/>
    <w:rsid w:val="007850F6"/>
    <w:rsid w:val="007860AE"/>
    <w:rsid w:val="00787918"/>
    <w:rsid w:val="00794C9D"/>
    <w:rsid w:val="007A2278"/>
    <w:rsid w:val="007A2FF8"/>
    <w:rsid w:val="007A4F14"/>
    <w:rsid w:val="007B0EE1"/>
    <w:rsid w:val="007B1B6A"/>
    <w:rsid w:val="007B30E3"/>
    <w:rsid w:val="007B4260"/>
    <w:rsid w:val="007C0181"/>
    <w:rsid w:val="007C4E12"/>
    <w:rsid w:val="007C5796"/>
    <w:rsid w:val="007D35DB"/>
    <w:rsid w:val="007E2A73"/>
    <w:rsid w:val="007E3901"/>
    <w:rsid w:val="007E399E"/>
    <w:rsid w:val="007E55ED"/>
    <w:rsid w:val="007E57DE"/>
    <w:rsid w:val="007E797D"/>
    <w:rsid w:val="007F1983"/>
    <w:rsid w:val="007F43F3"/>
    <w:rsid w:val="007F4C7A"/>
    <w:rsid w:val="008057D1"/>
    <w:rsid w:val="00806F8F"/>
    <w:rsid w:val="00807064"/>
    <w:rsid w:val="00807422"/>
    <w:rsid w:val="008106BB"/>
    <w:rsid w:val="00812F90"/>
    <w:rsid w:val="00813DD2"/>
    <w:rsid w:val="0081530E"/>
    <w:rsid w:val="0081564F"/>
    <w:rsid w:val="00815BC6"/>
    <w:rsid w:val="00817ED8"/>
    <w:rsid w:val="00821E55"/>
    <w:rsid w:val="00825D14"/>
    <w:rsid w:val="008275BC"/>
    <w:rsid w:val="00833C81"/>
    <w:rsid w:val="00836156"/>
    <w:rsid w:val="008365B6"/>
    <w:rsid w:val="008375CA"/>
    <w:rsid w:val="008429E2"/>
    <w:rsid w:val="008514F7"/>
    <w:rsid w:val="00851A9B"/>
    <w:rsid w:val="00851CE5"/>
    <w:rsid w:val="00852C1E"/>
    <w:rsid w:val="0085455E"/>
    <w:rsid w:val="00855A6A"/>
    <w:rsid w:val="00857AD3"/>
    <w:rsid w:val="00857E5D"/>
    <w:rsid w:val="008603F3"/>
    <w:rsid w:val="00863C4C"/>
    <w:rsid w:val="00865673"/>
    <w:rsid w:val="00866054"/>
    <w:rsid w:val="00866262"/>
    <w:rsid w:val="0086641C"/>
    <w:rsid w:val="00866676"/>
    <w:rsid w:val="00874B33"/>
    <w:rsid w:val="00876BA0"/>
    <w:rsid w:val="008779DE"/>
    <w:rsid w:val="008821FB"/>
    <w:rsid w:val="0088261F"/>
    <w:rsid w:val="00882906"/>
    <w:rsid w:val="008944E8"/>
    <w:rsid w:val="00895782"/>
    <w:rsid w:val="008961F3"/>
    <w:rsid w:val="00896443"/>
    <w:rsid w:val="0089702B"/>
    <w:rsid w:val="008A0AA9"/>
    <w:rsid w:val="008A3226"/>
    <w:rsid w:val="008A57B6"/>
    <w:rsid w:val="008A72A4"/>
    <w:rsid w:val="008A7AF6"/>
    <w:rsid w:val="008A7EBA"/>
    <w:rsid w:val="008B3DDF"/>
    <w:rsid w:val="008C1386"/>
    <w:rsid w:val="008C17F7"/>
    <w:rsid w:val="008C19AF"/>
    <w:rsid w:val="008C348F"/>
    <w:rsid w:val="008C3C56"/>
    <w:rsid w:val="008C6E06"/>
    <w:rsid w:val="008D088D"/>
    <w:rsid w:val="008D38C9"/>
    <w:rsid w:val="008D4716"/>
    <w:rsid w:val="008D5259"/>
    <w:rsid w:val="008D5DB9"/>
    <w:rsid w:val="008D674F"/>
    <w:rsid w:val="008E6EFB"/>
    <w:rsid w:val="008F1AC1"/>
    <w:rsid w:val="008F2825"/>
    <w:rsid w:val="008F2A2E"/>
    <w:rsid w:val="008F79AF"/>
    <w:rsid w:val="008F7FB6"/>
    <w:rsid w:val="00900CAB"/>
    <w:rsid w:val="00901413"/>
    <w:rsid w:val="00901437"/>
    <w:rsid w:val="00901B40"/>
    <w:rsid w:val="00902712"/>
    <w:rsid w:val="00903CFB"/>
    <w:rsid w:val="0090424A"/>
    <w:rsid w:val="009066FB"/>
    <w:rsid w:val="00910788"/>
    <w:rsid w:val="0091183C"/>
    <w:rsid w:val="009138FF"/>
    <w:rsid w:val="009155B7"/>
    <w:rsid w:val="00920658"/>
    <w:rsid w:val="00922FD9"/>
    <w:rsid w:val="00923D49"/>
    <w:rsid w:val="009257BA"/>
    <w:rsid w:val="00925C05"/>
    <w:rsid w:val="00926C45"/>
    <w:rsid w:val="00931B9F"/>
    <w:rsid w:val="009327F0"/>
    <w:rsid w:val="00933FC8"/>
    <w:rsid w:val="0093542D"/>
    <w:rsid w:val="0093664A"/>
    <w:rsid w:val="0094472D"/>
    <w:rsid w:val="00952B4E"/>
    <w:rsid w:val="00956C7B"/>
    <w:rsid w:val="009605E5"/>
    <w:rsid w:val="00960651"/>
    <w:rsid w:val="009628A1"/>
    <w:rsid w:val="009644BD"/>
    <w:rsid w:val="0096613F"/>
    <w:rsid w:val="00966EA7"/>
    <w:rsid w:val="00973F1B"/>
    <w:rsid w:val="00974D71"/>
    <w:rsid w:val="0097513D"/>
    <w:rsid w:val="009755B2"/>
    <w:rsid w:val="0098221A"/>
    <w:rsid w:val="009842B6"/>
    <w:rsid w:val="009848F3"/>
    <w:rsid w:val="009855D2"/>
    <w:rsid w:val="00985DAC"/>
    <w:rsid w:val="00986247"/>
    <w:rsid w:val="00987E17"/>
    <w:rsid w:val="00991D69"/>
    <w:rsid w:val="00992594"/>
    <w:rsid w:val="009964CB"/>
    <w:rsid w:val="009977D4"/>
    <w:rsid w:val="009A2580"/>
    <w:rsid w:val="009A7FD9"/>
    <w:rsid w:val="009B1011"/>
    <w:rsid w:val="009B14E2"/>
    <w:rsid w:val="009B3E59"/>
    <w:rsid w:val="009B4178"/>
    <w:rsid w:val="009B5908"/>
    <w:rsid w:val="009B74C4"/>
    <w:rsid w:val="009C0BB6"/>
    <w:rsid w:val="009C2A11"/>
    <w:rsid w:val="009C2CF7"/>
    <w:rsid w:val="009C4B4D"/>
    <w:rsid w:val="009C4F2D"/>
    <w:rsid w:val="009D076F"/>
    <w:rsid w:val="009D3C43"/>
    <w:rsid w:val="009E120F"/>
    <w:rsid w:val="009E443C"/>
    <w:rsid w:val="009E6DB4"/>
    <w:rsid w:val="009F323B"/>
    <w:rsid w:val="009F47DF"/>
    <w:rsid w:val="009F6B2C"/>
    <w:rsid w:val="00A00CE7"/>
    <w:rsid w:val="00A01B1F"/>
    <w:rsid w:val="00A03D6E"/>
    <w:rsid w:val="00A06CDB"/>
    <w:rsid w:val="00A10B49"/>
    <w:rsid w:val="00A12D33"/>
    <w:rsid w:val="00A172FE"/>
    <w:rsid w:val="00A32601"/>
    <w:rsid w:val="00A36801"/>
    <w:rsid w:val="00A3755A"/>
    <w:rsid w:val="00A43C4B"/>
    <w:rsid w:val="00A44BFC"/>
    <w:rsid w:val="00A47B93"/>
    <w:rsid w:val="00A51A0C"/>
    <w:rsid w:val="00A52284"/>
    <w:rsid w:val="00A54405"/>
    <w:rsid w:val="00A556A2"/>
    <w:rsid w:val="00A57666"/>
    <w:rsid w:val="00A61972"/>
    <w:rsid w:val="00A8005F"/>
    <w:rsid w:val="00A808DF"/>
    <w:rsid w:val="00A81E40"/>
    <w:rsid w:val="00A82E74"/>
    <w:rsid w:val="00A87728"/>
    <w:rsid w:val="00AA319C"/>
    <w:rsid w:val="00AA59FC"/>
    <w:rsid w:val="00AB0662"/>
    <w:rsid w:val="00AB09BE"/>
    <w:rsid w:val="00AB0D8D"/>
    <w:rsid w:val="00AB5761"/>
    <w:rsid w:val="00AC0B1D"/>
    <w:rsid w:val="00AC2E48"/>
    <w:rsid w:val="00AC3B11"/>
    <w:rsid w:val="00AC3F83"/>
    <w:rsid w:val="00AC44FC"/>
    <w:rsid w:val="00AC5D4C"/>
    <w:rsid w:val="00AC5F3D"/>
    <w:rsid w:val="00AD05F4"/>
    <w:rsid w:val="00AD133A"/>
    <w:rsid w:val="00AD18ED"/>
    <w:rsid w:val="00AE1B9A"/>
    <w:rsid w:val="00AE3423"/>
    <w:rsid w:val="00AE3744"/>
    <w:rsid w:val="00AF12C3"/>
    <w:rsid w:val="00AF626E"/>
    <w:rsid w:val="00B00DAD"/>
    <w:rsid w:val="00B034E3"/>
    <w:rsid w:val="00B053AF"/>
    <w:rsid w:val="00B07AB2"/>
    <w:rsid w:val="00B1442C"/>
    <w:rsid w:val="00B16552"/>
    <w:rsid w:val="00B16590"/>
    <w:rsid w:val="00B20E4B"/>
    <w:rsid w:val="00B23E38"/>
    <w:rsid w:val="00B256A1"/>
    <w:rsid w:val="00B27680"/>
    <w:rsid w:val="00B27E11"/>
    <w:rsid w:val="00B300F8"/>
    <w:rsid w:val="00B334D8"/>
    <w:rsid w:val="00B33558"/>
    <w:rsid w:val="00B40311"/>
    <w:rsid w:val="00B45E0A"/>
    <w:rsid w:val="00B473C2"/>
    <w:rsid w:val="00B5089F"/>
    <w:rsid w:val="00B51EEA"/>
    <w:rsid w:val="00B54948"/>
    <w:rsid w:val="00B56B08"/>
    <w:rsid w:val="00B616E2"/>
    <w:rsid w:val="00B623F7"/>
    <w:rsid w:val="00B6357B"/>
    <w:rsid w:val="00B64347"/>
    <w:rsid w:val="00B66BF2"/>
    <w:rsid w:val="00B70A59"/>
    <w:rsid w:val="00B72373"/>
    <w:rsid w:val="00B73E57"/>
    <w:rsid w:val="00B745E7"/>
    <w:rsid w:val="00B75FB1"/>
    <w:rsid w:val="00B81D11"/>
    <w:rsid w:val="00B836ED"/>
    <w:rsid w:val="00B91665"/>
    <w:rsid w:val="00B939AB"/>
    <w:rsid w:val="00B95B0E"/>
    <w:rsid w:val="00BA3109"/>
    <w:rsid w:val="00BA4946"/>
    <w:rsid w:val="00BA6447"/>
    <w:rsid w:val="00BB1922"/>
    <w:rsid w:val="00BB677A"/>
    <w:rsid w:val="00BD13AF"/>
    <w:rsid w:val="00BD38BD"/>
    <w:rsid w:val="00BD39C9"/>
    <w:rsid w:val="00BD54E4"/>
    <w:rsid w:val="00BD6DA1"/>
    <w:rsid w:val="00BD7B22"/>
    <w:rsid w:val="00BE2560"/>
    <w:rsid w:val="00BE2B94"/>
    <w:rsid w:val="00BE322F"/>
    <w:rsid w:val="00BE6100"/>
    <w:rsid w:val="00BE6935"/>
    <w:rsid w:val="00BE7A6B"/>
    <w:rsid w:val="00BF1BDA"/>
    <w:rsid w:val="00BF2985"/>
    <w:rsid w:val="00BF473C"/>
    <w:rsid w:val="00BF5171"/>
    <w:rsid w:val="00BF7584"/>
    <w:rsid w:val="00C01D58"/>
    <w:rsid w:val="00C15E81"/>
    <w:rsid w:val="00C16FC8"/>
    <w:rsid w:val="00C24F80"/>
    <w:rsid w:val="00C25E55"/>
    <w:rsid w:val="00C25FA7"/>
    <w:rsid w:val="00C26F01"/>
    <w:rsid w:val="00C34C62"/>
    <w:rsid w:val="00C37F58"/>
    <w:rsid w:val="00C4770B"/>
    <w:rsid w:val="00C5155E"/>
    <w:rsid w:val="00C56565"/>
    <w:rsid w:val="00C60924"/>
    <w:rsid w:val="00C6186A"/>
    <w:rsid w:val="00C6241A"/>
    <w:rsid w:val="00C6434F"/>
    <w:rsid w:val="00C64409"/>
    <w:rsid w:val="00C65F2A"/>
    <w:rsid w:val="00C6654D"/>
    <w:rsid w:val="00C66D6B"/>
    <w:rsid w:val="00C67148"/>
    <w:rsid w:val="00C703E9"/>
    <w:rsid w:val="00C72AB8"/>
    <w:rsid w:val="00C7389E"/>
    <w:rsid w:val="00C76116"/>
    <w:rsid w:val="00C846E3"/>
    <w:rsid w:val="00C86804"/>
    <w:rsid w:val="00C90A85"/>
    <w:rsid w:val="00C94367"/>
    <w:rsid w:val="00C96278"/>
    <w:rsid w:val="00C96B74"/>
    <w:rsid w:val="00CA0B1E"/>
    <w:rsid w:val="00CA0CD8"/>
    <w:rsid w:val="00CA2C7F"/>
    <w:rsid w:val="00CA3272"/>
    <w:rsid w:val="00CB125B"/>
    <w:rsid w:val="00CB323A"/>
    <w:rsid w:val="00CB51AA"/>
    <w:rsid w:val="00CB51DE"/>
    <w:rsid w:val="00CC201A"/>
    <w:rsid w:val="00CC27E5"/>
    <w:rsid w:val="00CC2EAD"/>
    <w:rsid w:val="00CC317B"/>
    <w:rsid w:val="00CC4615"/>
    <w:rsid w:val="00CC4CF9"/>
    <w:rsid w:val="00CC4D81"/>
    <w:rsid w:val="00CC6D09"/>
    <w:rsid w:val="00CC756E"/>
    <w:rsid w:val="00CD0424"/>
    <w:rsid w:val="00CD0510"/>
    <w:rsid w:val="00CD073A"/>
    <w:rsid w:val="00CD170A"/>
    <w:rsid w:val="00CE0AE0"/>
    <w:rsid w:val="00CE5B3B"/>
    <w:rsid w:val="00CE6023"/>
    <w:rsid w:val="00CE7BBA"/>
    <w:rsid w:val="00CF3363"/>
    <w:rsid w:val="00CF3A23"/>
    <w:rsid w:val="00CF5326"/>
    <w:rsid w:val="00CF5E2F"/>
    <w:rsid w:val="00D00401"/>
    <w:rsid w:val="00D0196A"/>
    <w:rsid w:val="00D0338B"/>
    <w:rsid w:val="00D03EA7"/>
    <w:rsid w:val="00D04D69"/>
    <w:rsid w:val="00D1023D"/>
    <w:rsid w:val="00D11051"/>
    <w:rsid w:val="00D15A04"/>
    <w:rsid w:val="00D17142"/>
    <w:rsid w:val="00D200D2"/>
    <w:rsid w:val="00D21B0D"/>
    <w:rsid w:val="00D24FB1"/>
    <w:rsid w:val="00D269FC"/>
    <w:rsid w:val="00D31A4C"/>
    <w:rsid w:val="00D31DA7"/>
    <w:rsid w:val="00D32745"/>
    <w:rsid w:val="00D34B30"/>
    <w:rsid w:val="00D3612E"/>
    <w:rsid w:val="00D4343B"/>
    <w:rsid w:val="00D453B2"/>
    <w:rsid w:val="00D508EF"/>
    <w:rsid w:val="00D510B2"/>
    <w:rsid w:val="00D54779"/>
    <w:rsid w:val="00D61C89"/>
    <w:rsid w:val="00D62019"/>
    <w:rsid w:val="00D621FF"/>
    <w:rsid w:val="00D623D1"/>
    <w:rsid w:val="00D63B9F"/>
    <w:rsid w:val="00D66FE6"/>
    <w:rsid w:val="00D67183"/>
    <w:rsid w:val="00D67B92"/>
    <w:rsid w:val="00D709A5"/>
    <w:rsid w:val="00D74B86"/>
    <w:rsid w:val="00D8570F"/>
    <w:rsid w:val="00D85730"/>
    <w:rsid w:val="00D85C41"/>
    <w:rsid w:val="00D878B5"/>
    <w:rsid w:val="00D92A9E"/>
    <w:rsid w:val="00D96610"/>
    <w:rsid w:val="00DA0613"/>
    <w:rsid w:val="00DA1CFC"/>
    <w:rsid w:val="00DA25E7"/>
    <w:rsid w:val="00DA3FD4"/>
    <w:rsid w:val="00DA5BAB"/>
    <w:rsid w:val="00DA68B0"/>
    <w:rsid w:val="00DA7DC9"/>
    <w:rsid w:val="00DA7F8A"/>
    <w:rsid w:val="00DC01B3"/>
    <w:rsid w:val="00DC24DD"/>
    <w:rsid w:val="00DC433F"/>
    <w:rsid w:val="00DC67DC"/>
    <w:rsid w:val="00DC7579"/>
    <w:rsid w:val="00DC7801"/>
    <w:rsid w:val="00DD0B55"/>
    <w:rsid w:val="00DD1D9E"/>
    <w:rsid w:val="00DD2AF5"/>
    <w:rsid w:val="00DD77DE"/>
    <w:rsid w:val="00DE1653"/>
    <w:rsid w:val="00DE48AB"/>
    <w:rsid w:val="00DF1EF2"/>
    <w:rsid w:val="00DF2B1A"/>
    <w:rsid w:val="00DF7008"/>
    <w:rsid w:val="00DF7785"/>
    <w:rsid w:val="00E0048A"/>
    <w:rsid w:val="00E00C6A"/>
    <w:rsid w:val="00E018B4"/>
    <w:rsid w:val="00E06BE9"/>
    <w:rsid w:val="00E06E4A"/>
    <w:rsid w:val="00E133A9"/>
    <w:rsid w:val="00E146D4"/>
    <w:rsid w:val="00E14AE6"/>
    <w:rsid w:val="00E169B3"/>
    <w:rsid w:val="00E16B99"/>
    <w:rsid w:val="00E172E7"/>
    <w:rsid w:val="00E178EA"/>
    <w:rsid w:val="00E20A03"/>
    <w:rsid w:val="00E23C5B"/>
    <w:rsid w:val="00E2724D"/>
    <w:rsid w:val="00E27315"/>
    <w:rsid w:val="00E27DA6"/>
    <w:rsid w:val="00E3180C"/>
    <w:rsid w:val="00E31B5E"/>
    <w:rsid w:val="00E3257C"/>
    <w:rsid w:val="00E33A1A"/>
    <w:rsid w:val="00E36257"/>
    <w:rsid w:val="00E41A21"/>
    <w:rsid w:val="00E426B7"/>
    <w:rsid w:val="00E42CEF"/>
    <w:rsid w:val="00E43C8A"/>
    <w:rsid w:val="00E44882"/>
    <w:rsid w:val="00E457DA"/>
    <w:rsid w:val="00E4628E"/>
    <w:rsid w:val="00E47052"/>
    <w:rsid w:val="00E47289"/>
    <w:rsid w:val="00E477AF"/>
    <w:rsid w:val="00E51619"/>
    <w:rsid w:val="00E53152"/>
    <w:rsid w:val="00E5563A"/>
    <w:rsid w:val="00E56BBC"/>
    <w:rsid w:val="00E60C1D"/>
    <w:rsid w:val="00E653D1"/>
    <w:rsid w:val="00E66751"/>
    <w:rsid w:val="00E70E4A"/>
    <w:rsid w:val="00E74482"/>
    <w:rsid w:val="00E76AC0"/>
    <w:rsid w:val="00E82EC6"/>
    <w:rsid w:val="00E82FEF"/>
    <w:rsid w:val="00E857DA"/>
    <w:rsid w:val="00E863E8"/>
    <w:rsid w:val="00E87017"/>
    <w:rsid w:val="00E876EF"/>
    <w:rsid w:val="00E87A01"/>
    <w:rsid w:val="00E91250"/>
    <w:rsid w:val="00E973AC"/>
    <w:rsid w:val="00EA04E4"/>
    <w:rsid w:val="00EA140A"/>
    <w:rsid w:val="00EA1FC7"/>
    <w:rsid w:val="00EA2310"/>
    <w:rsid w:val="00EA4A5D"/>
    <w:rsid w:val="00EA73CD"/>
    <w:rsid w:val="00EB2195"/>
    <w:rsid w:val="00EB2956"/>
    <w:rsid w:val="00EB6D61"/>
    <w:rsid w:val="00EB79A5"/>
    <w:rsid w:val="00EC2A31"/>
    <w:rsid w:val="00EC5234"/>
    <w:rsid w:val="00EC5B85"/>
    <w:rsid w:val="00EC612A"/>
    <w:rsid w:val="00ED4083"/>
    <w:rsid w:val="00ED59EC"/>
    <w:rsid w:val="00ED5DF6"/>
    <w:rsid w:val="00ED6A53"/>
    <w:rsid w:val="00ED77AF"/>
    <w:rsid w:val="00EE0EA3"/>
    <w:rsid w:val="00EE1220"/>
    <w:rsid w:val="00EE2045"/>
    <w:rsid w:val="00EE2354"/>
    <w:rsid w:val="00EE5E4D"/>
    <w:rsid w:val="00EE64CD"/>
    <w:rsid w:val="00EF03DA"/>
    <w:rsid w:val="00EF06B0"/>
    <w:rsid w:val="00EF0CDA"/>
    <w:rsid w:val="00EF25B5"/>
    <w:rsid w:val="00EF3043"/>
    <w:rsid w:val="00EF47AB"/>
    <w:rsid w:val="00EF65B6"/>
    <w:rsid w:val="00EF6EDB"/>
    <w:rsid w:val="00F00A45"/>
    <w:rsid w:val="00F03962"/>
    <w:rsid w:val="00F039A1"/>
    <w:rsid w:val="00F04580"/>
    <w:rsid w:val="00F05C95"/>
    <w:rsid w:val="00F101C9"/>
    <w:rsid w:val="00F104A9"/>
    <w:rsid w:val="00F12318"/>
    <w:rsid w:val="00F128B5"/>
    <w:rsid w:val="00F1416A"/>
    <w:rsid w:val="00F1459E"/>
    <w:rsid w:val="00F259C0"/>
    <w:rsid w:val="00F306B4"/>
    <w:rsid w:val="00F3137C"/>
    <w:rsid w:val="00F325B1"/>
    <w:rsid w:val="00F342E4"/>
    <w:rsid w:val="00F37BC1"/>
    <w:rsid w:val="00F44ED8"/>
    <w:rsid w:val="00F472E1"/>
    <w:rsid w:val="00F523BE"/>
    <w:rsid w:val="00F539F4"/>
    <w:rsid w:val="00F53B30"/>
    <w:rsid w:val="00F57069"/>
    <w:rsid w:val="00F62A41"/>
    <w:rsid w:val="00F656E8"/>
    <w:rsid w:val="00F66A3C"/>
    <w:rsid w:val="00F703D0"/>
    <w:rsid w:val="00F714B8"/>
    <w:rsid w:val="00F75BA5"/>
    <w:rsid w:val="00F80181"/>
    <w:rsid w:val="00F80E6D"/>
    <w:rsid w:val="00F83A67"/>
    <w:rsid w:val="00F909F8"/>
    <w:rsid w:val="00F93944"/>
    <w:rsid w:val="00F93DDE"/>
    <w:rsid w:val="00F97FCE"/>
    <w:rsid w:val="00FA2A95"/>
    <w:rsid w:val="00FA6FC0"/>
    <w:rsid w:val="00FB0277"/>
    <w:rsid w:val="00FB0995"/>
    <w:rsid w:val="00FB4284"/>
    <w:rsid w:val="00FB67E9"/>
    <w:rsid w:val="00FC054E"/>
    <w:rsid w:val="00FC0570"/>
    <w:rsid w:val="00FC075C"/>
    <w:rsid w:val="00FC257D"/>
    <w:rsid w:val="00FC3B5C"/>
    <w:rsid w:val="00FC4903"/>
    <w:rsid w:val="00FD0076"/>
    <w:rsid w:val="00FD01CF"/>
    <w:rsid w:val="00FD04A6"/>
    <w:rsid w:val="00FD0CE1"/>
    <w:rsid w:val="00FD1215"/>
    <w:rsid w:val="00FD1796"/>
    <w:rsid w:val="00FD2ED3"/>
    <w:rsid w:val="00FD2FF8"/>
    <w:rsid w:val="00FD3162"/>
    <w:rsid w:val="00FD49AF"/>
    <w:rsid w:val="00FD5982"/>
    <w:rsid w:val="00FE08DB"/>
    <w:rsid w:val="00FE20CF"/>
    <w:rsid w:val="00FE2FCC"/>
    <w:rsid w:val="00FE7500"/>
    <w:rsid w:val="00FF2609"/>
    <w:rsid w:val="00FF4ED2"/>
    <w:rsid w:val="00FF6301"/>
    <w:rsid w:val="00FF7678"/>
    <w:rsid w:val="00FF7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F0"/>
  </w:style>
  <w:style w:type="paragraph" w:styleId="Ttulo1">
    <w:name w:val="heading 1"/>
    <w:basedOn w:val="Normal"/>
    <w:link w:val="Ttulo1Char"/>
    <w:uiPriority w:val="9"/>
    <w:qFormat/>
    <w:rsid w:val="0021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4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106B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C2E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31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31D5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731D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D54"/>
    <w:rPr>
      <w:rFonts w:ascii="Tahoma" w:hAnsi="Tahoma" w:cs="Tahoma"/>
      <w:sz w:val="16"/>
      <w:szCs w:val="16"/>
    </w:rPr>
  </w:style>
  <w:style w:type="paragraph" w:styleId="SemEspaamento">
    <w:name w:val="No Spacing"/>
    <w:link w:val="SemEspaamentoChar"/>
    <w:uiPriority w:val="1"/>
    <w:qFormat/>
    <w:rsid w:val="007656E7"/>
    <w:pPr>
      <w:spacing w:after="0" w:line="240" w:lineRule="auto"/>
    </w:pPr>
  </w:style>
  <w:style w:type="table" w:styleId="Tabelacomgrade">
    <w:name w:val="Table Grid"/>
    <w:basedOn w:val="Tabelanormal"/>
    <w:uiPriority w:val="59"/>
    <w:rsid w:val="0032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4779"/>
    <w:pPr>
      <w:ind w:left="720"/>
      <w:contextualSpacing/>
    </w:pPr>
  </w:style>
  <w:style w:type="table" w:styleId="SombreamentoClaro-nfase2">
    <w:name w:val="Light Shading Accent 2"/>
    <w:basedOn w:val="Tabelanormal"/>
    <w:uiPriority w:val="60"/>
    <w:rsid w:val="00EF25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EF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ombreamentoClaro-nfase11">
    <w:name w:val="Sombreamento Claro - Ênfase 11"/>
    <w:basedOn w:val="Tabelanormal"/>
    <w:uiPriority w:val="60"/>
    <w:rsid w:val="00EF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593A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AAB"/>
  </w:style>
  <w:style w:type="paragraph" w:styleId="Rodap">
    <w:name w:val="footer"/>
    <w:basedOn w:val="Normal"/>
    <w:link w:val="RodapChar"/>
    <w:uiPriority w:val="99"/>
    <w:unhideWhenUsed/>
    <w:rsid w:val="00593AAB"/>
    <w:pPr>
      <w:tabs>
        <w:tab w:val="center" w:pos="4252"/>
        <w:tab w:val="right" w:pos="8504"/>
      </w:tabs>
      <w:spacing w:after="0" w:line="240" w:lineRule="auto"/>
    </w:pPr>
  </w:style>
  <w:style w:type="character" w:customStyle="1" w:styleId="RodapChar">
    <w:name w:val="Rodapé Char"/>
    <w:basedOn w:val="Fontepargpadro"/>
    <w:link w:val="Rodap"/>
    <w:uiPriority w:val="99"/>
    <w:rsid w:val="00593AAB"/>
  </w:style>
  <w:style w:type="paragraph" w:styleId="Corpodetexto">
    <w:name w:val="Body Text"/>
    <w:basedOn w:val="Normal"/>
    <w:link w:val="CorpodetextoChar"/>
    <w:rsid w:val="001041C9"/>
    <w:pPr>
      <w:spacing w:after="0" w:line="240" w:lineRule="auto"/>
      <w:jc w:val="both"/>
    </w:pPr>
    <w:rPr>
      <w:rFonts w:ascii="Arial Narrow" w:eastAsia="Times New Roman" w:hAnsi="Arial Narrow" w:cs="Times New Roman"/>
      <w:sz w:val="28"/>
      <w:szCs w:val="20"/>
      <w:lang w:eastAsia="pt-BR"/>
    </w:rPr>
  </w:style>
  <w:style w:type="character" w:customStyle="1" w:styleId="CorpodetextoChar">
    <w:name w:val="Corpo de texto Char"/>
    <w:basedOn w:val="Fontepargpadro"/>
    <w:link w:val="Corpodetexto"/>
    <w:rsid w:val="001041C9"/>
    <w:rPr>
      <w:rFonts w:ascii="Arial Narrow" w:eastAsia="Times New Roman" w:hAnsi="Arial Narrow" w:cs="Times New Roman"/>
      <w:sz w:val="28"/>
      <w:szCs w:val="20"/>
      <w:lang w:eastAsia="pt-BR"/>
    </w:rPr>
  </w:style>
  <w:style w:type="character" w:styleId="Forte">
    <w:name w:val="Strong"/>
    <w:basedOn w:val="Fontepargpadro"/>
    <w:uiPriority w:val="22"/>
    <w:qFormat/>
    <w:rsid w:val="001041C9"/>
    <w:rPr>
      <w:b/>
      <w:bCs/>
    </w:rPr>
  </w:style>
  <w:style w:type="character" w:customStyle="1" w:styleId="apple-converted-space">
    <w:name w:val="apple-converted-space"/>
    <w:basedOn w:val="Fontepargpadro"/>
    <w:rsid w:val="001041C9"/>
  </w:style>
  <w:style w:type="character" w:styleId="Hyperlink">
    <w:name w:val="Hyperlink"/>
    <w:basedOn w:val="Fontepargpadro"/>
    <w:uiPriority w:val="99"/>
    <w:unhideWhenUsed/>
    <w:rsid w:val="001041C9"/>
    <w:rPr>
      <w:color w:val="0000FF"/>
      <w:u w:val="single"/>
    </w:rPr>
  </w:style>
  <w:style w:type="character" w:customStyle="1" w:styleId="Ttulo1Char">
    <w:name w:val="Título 1 Char"/>
    <w:basedOn w:val="Fontepargpadro"/>
    <w:link w:val="Ttulo1"/>
    <w:uiPriority w:val="9"/>
    <w:rsid w:val="002140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8106BB"/>
    <w:rPr>
      <w:rFonts w:asciiTheme="majorHAnsi" w:eastAsiaTheme="majorEastAsia" w:hAnsiTheme="majorHAnsi" w:cstheme="majorBidi"/>
      <w:b/>
      <w:bCs/>
      <w:color w:val="4F81BD" w:themeColor="accent1"/>
    </w:rPr>
  </w:style>
  <w:style w:type="character" w:customStyle="1" w:styleId="unidade">
    <w:name w:val="unidade"/>
    <w:basedOn w:val="Fontepargpadro"/>
    <w:rsid w:val="008106BB"/>
  </w:style>
  <w:style w:type="character" w:customStyle="1" w:styleId="SemEspaamentoChar">
    <w:name w:val="Sem Espaçamento Char"/>
    <w:basedOn w:val="Fontepargpadro"/>
    <w:link w:val="SemEspaamento"/>
    <w:uiPriority w:val="1"/>
    <w:rsid w:val="00EF6EDB"/>
  </w:style>
  <w:style w:type="character" w:customStyle="1" w:styleId="Ttulo2Char">
    <w:name w:val="Título 2 Char"/>
    <w:basedOn w:val="Fontepargpadro"/>
    <w:link w:val="Ttulo2"/>
    <w:uiPriority w:val="9"/>
    <w:semiHidden/>
    <w:rsid w:val="001419CB"/>
    <w:rPr>
      <w:rFonts w:asciiTheme="majorHAnsi" w:eastAsiaTheme="majorEastAsia" w:hAnsiTheme="majorHAnsi" w:cstheme="majorBidi"/>
      <w:b/>
      <w:bCs/>
      <w:color w:val="4F81BD" w:themeColor="accent1"/>
      <w:sz w:val="26"/>
      <w:szCs w:val="26"/>
    </w:rPr>
  </w:style>
  <w:style w:type="paragraph" w:customStyle="1" w:styleId="Pa1">
    <w:name w:val="Pa1"/>
    <w:basedOn w:val="Default"/>
    <w:next w:val="Default"/>
    <w:uiPriority w:val="99"/>
    <w:rsid w:val="008821FB"/>
    <w:pPr>
      <w:spacing w:line="241" w:lineRule="atLeast"/>
    </w:pPr>
    <w:rPr>
      <w:rFonts w:ascii="Source Sans Pro" w:eastAsiaTheme="minorHAnsi" w:hAnsi="Source Sans Pro" w:cstheme="minorBidi"/>
      <w:color w:val="auto"/>
      <w:lang w:eastAsia="en-US"/>
    </w:rPr>
  </w:style>
  <w:style w:type="paragraph" w:customStyle="1" w:styleId="Pa25">
    <w:name w:val="Pa25"/>
    <w:basedOn w:val="Default"/>
    <w:next w:val="Default"/>
    <w:uiPriority w:val="99"/>
    <w:rsid w:val="008821FB"/>
    <w:pPr>
      <w:spacing w:line="201" w:lineRule="atLeast"/>
    </w:pPr>
    <w:rPr>
      <w:rFonts w:ascii="Source Sans Pro" w:eastAsiaTheme="minorHAnsi" w:hAnsi="Source Sans Pro" w:cstheme="minorBidi"/>
      <w:color w:val="auto"/>
      <w:lang w:eastAsia="en-US"/>
    </w:rPr>
  </w:style>
  <w:style w:type="paragraph" w:customStyle="1" w:styleId="Pa38">
    <w:name w:val="Pa38"/>
    <w:basedOn w:val="Default"/>
    <w:next w:val="Default"/>
    <w:uiPriority w:val="99"/>
    <w:rsid w:val="00342E82"/>
    <w:pPr>
      <w:spacing w:line="141" w:lineRule="atLeast"/>
    </w:pPr>
    <w:rPr>
      <w:rFonts w:ascii="Source Sans Pro" w:eastAsiaTheme="minorHAnsi" w:hAnsi="Source Sans Pro" w:cstheme="minorBidi"/>
      <w:color w:val="auto"/>
      <w:lang w:eastAsia="en-US"/>
    </w:rPr>
  </w:style>
  <w:style w:type="paragraph" w:customStyle="1" w:styleId="Pa0">
    <w:name w:val="Pa0"/>
    <w:basedOn w:val="Default"/>
    <w:next w:val="Default"/>
    <w:uiPriority w:val="99"/>
    <w:rsid w:val="00342E82"/>
    <w:pPr>
      <w:spacing w:line="241" w:lineRule="atLeast"/>
    </w:pPr>
    <w:rPr>
      <w:rFonts w:ascii="Source Sans Pro" w:eastAsiaTheme="minorHAnsi" w:hAnsi="Source Sans Pro" w:cstheme="minorBidi"/>
      <w:color w:val="auto"/>
      <w:lang w:eastAsia="en-US"/>
    </w:rPr>
  </w:style>
  <w:style w:type="character" w:customStyle="1" w:styleId="A20">
    <w:name w:val="A20"/>
    <w:uiPriority w:val="99"/>
    <w:rsid w:val="00342E82"/>
    <w:rPr>
      <w:rFonts w:cs="Source Sans Pro"/>
      <w:b/>
      <w:bCs/>
      <w:color w:val="000000"/>
      <w:sz w:val="14"/>
      <w:szCs w:val="14"/>
    </w:rPr>
  </w:style>
  <w:style w:type="paragraph" w:customStyle="1" w:styleId="Pa20">
    <w:name w:val="Pa20"/>
    <w:basedOn w:val="Default"/>
    <w:next w:val="Default"/>
    <w:uiPriority w:val="99"/>
    <w:rsid w:val="00342E82"/>
    <w:pPr>
      <w:spacing w:line="211" w:lineRule="atLeast"/>
    </w:pPr>
    <w:rPr>
      <w:rFonts w:ascii="Source Sans Pro" w:eastAsiaTheme="minorHAnsi" w:hAnsi="Source Sans Pro" w:cstheme="minorBidi"/>
      <w:color w:val="auto"/>
      <w:lang w:eastAsia="en-US"/>
    </w:rPr>
  </w:style>
  <w:style w:type="paragraph" w:customStyle="1" w:styleId="Pa33">
    <w:name w:val="Pa33"/>
    <w:basedOn w:val="Default"/>
    <w:next w:val="Default"/>
    <w:uiPriority w:val="99"/>
    <w:rsid w:val="00342E82"/>
    <w:pPr>
      <w:spacing w:line="211" w:lineRule="atLeast"/>
    </w:pPr>
    <w:rPr>
      <w:rFonts w:ascii="Source Sans Pro Light" w:eastAsiaTheme="minorHAnsi" w:hAnsi="Source Sans Pro Light" w:cstheme="minorBidi"/>
      <w:color w:val="auto"/>
      <w:lang w:eastAsia="en-US"/>
    </w:rPr>
  </w:style>
  <w:style w:type="paragraph" w:styleId="Textodenotaderodap">
    <w:name w:val="footnote text"/>
    <w:basedOn w:val="Normal"/>
    <w:link w:val="TextodenotaderodapChar"/>
    <w:rsid w:val="008057D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8057D1"/>
    <w:rPr>
      <w:rFonts w:ascii="Times New Roman" w:eastAsia="Times New Roman" w:hAnsi="Times New Roman" w:cs="Times New Roman"/>
      <w:sz w:val="20"/>
      <w:szCs w:val="20"/>
      <w:lang w:eastAsia="pt-BR"/>
    </w:rPr>
  </w:style>
  <w:style w:type="character" w:styleId="Refdenotaderodap">
    <w:name w:val="footnote reference"/>
    <w:rsid w:val="008057D1"/>
    <w:rPr>
      <w:vertAlign w:val="superscript"/>
    </w:rPr>
  </w:style>
  <w:style w:type="character" w:customStyle="1" w:styleId="ircho">
    <w:name w:val="irc_ho"/>
    <w:basedOn w:val="Fontepargpadro"/>
    <w:rsid w:val="00813DD2"/>
  </w:style>
  <w:style w:type="table" w:customStyle="1" w:styleId="TabeladeGrade1Clara-nfase11">
    <w:name w:val="Tabela de Grade 1 Clara - Ênfase 11"/>
    <w:basedOn w:val="Tabelanormal"/>
    <w:uiPriority w:val="46"/>
    <w:rsid w:val="00EC523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A03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F539F4"/>
    <w:pPr>
      <w:tabs>
        <w:tab w:val="decimal" w:pos="360"/>
      </w:tabs>
    </w:pPr>
    <w:rPr>
      <w:rFonts w:eastAsiaTheme="minorEastAsia" w:cs="Times New Roman"/>
      <w:lang w:eastAsia="pt-BR"/>
    </w:rPr>
  </w:style>
  <w:style w:type="character" w:styleId="nfaseSutil">
    <w:name w:val="Subtle Emphasis"/>
    <w:basedOn w:val="Fontepargpadro"/>
    <w:uiPriority w:val="19"/>
    <w:qFormat/>
    <w:rsid w:val="00F539F4"/>
    <w:rPr>
      <w:i/>
      <w:iCs/>
    </w:rPr>
  </w:style>
  <w:style w:type="character" w:styleId="nfase">
    <w:name w:val="Emphasis"/>
    <w:basedOn w:val="Fontepargpadro"/>
    <w:uiPriority w:val="20"/>
    <w:qFormat/>
    <w:rsid w:val="008A3226"/>
    <w:rPr>
      <w:i/>
      <w:iCs/>
    </w:rPr>
  </w:style>
  <w:style w:type="character" w:customStyle="1" w:styleId="Ttulo5Char">
    <w:name w:val="Título 5 Char"/>
    <w:basedOn w:val="Fontepargpadro"/>
    <w:link w:val="Ttulo5"/>
    <w:uiPriority w:val="9"/>
    <w:rsid w:val="00AC2E48"/>
    <w:rPr>
      <w:rFonts w:asciiTheme="majorHAnsi" w:eastAsiaTheme="majorEastAsia" w:hAnsiTheme="majorHAnsi" w:cstheme="majorBidi"/>
      <w:color w:val="365F91" w:themeColor="accent1" w:themeShade="BF"/>
    </w:rPr>
  </w:style>
  <w:style w:type="table" w:customStyle="1" w:styleId="TabeladeGrade1Clara-nfase12">
    <w:name w:val="Tabela de Grade 1 Clara - Ênfase 12"/>
    <w:basedOn w:val="Tabelanormal"/>
    <w:uiPriority w:val="46"/>
    <w:rsid w:val="00C37F5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rsid w:val="00C37F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deGrade7Colorida-nfase11">
    <w:name w:val="Tabela de Grade 7 Colorida - Ênfase 11"/>
    <w:basedOn w:val="Tabelanormal"/>
    <w:uiPriority w:val="52"/>
    <w:rsid w:val="00C37F5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deGrade4-nfase11">
    <w:name w:val="Tabela de Grade 4 - Ênfase 11"/>
    <w:basedOn w:val="Tabelanormal"/>
    <w:uiPriority w:val="49"/>
    <w:rsid w:val="00C37F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cuodecorpodetexto21">
    <w:name w:val="Recuo de corpo de texto 21"/>
    <w:basedOn w:val="Normal"/>
    <w:rsid w:val="00E857DA"/>
    <w:pPr>
      <w:suppressAutoHyphens/>
      <w:spacing w:after="120" w:line="480" w:lineRule="auto"/>
      <w:ind w:left="283"/>
    </w:pPr>
    <w:rPr>
      <w:rFonts w:ascii="Liberation Serif" w:eastAsia="SimSun" w:hAnsi="Liberation Serif" w:cs="Mangal"/>
      <w:kern w:val="1"/>
      <w:sz w:val="28"/>
      <w:szCs w:val="20"/>
      <w:lang w:eastAsia="zh-CN" w:bidi="hi-IN"/>
    </w:rPr>
  </w:style>
  <w:style w:type="table" w:customStyle="1" w:styleId="TabeladeGrade4-nfase52">
    <w:name w:val="Tabela de Grade 4 - Ênfase 52"/>
    <w:basedOn w:val="Tabelanormal"/>
    <w:uiPriority w:val="49"/>
    <w:rsid w:val="00CD04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2-nfase51">
    <w:name w:val="Tabela de Grade 2 - Ênfase 51"/>
    <w:basedOn w:val="Tabelanormal"/>
    <w:uiPriority w:val="47"/>
    <w:rsid w:val="00CD042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F0"/>
  </w:style>
  <w:style w:type="paragraph" w:styleId="Ttulo1">
    <w:name w:val="heading 1"/>
    <w:basedOn w:val="Normal"/>
    <w:link w:val="Ttulo1Char"/>
    <w:uiPriority w:val="9"/>
    <w:qFormat/>
    <w:rsid w:val="0021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4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106B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C2E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31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31D5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731D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D54"/>
    <w:rPr>
      <w:rFonts w:ascii="Tahoma" w:hAnsi="Tahoma" w:cs="Tahoma"/>
      <w:sz w:val="16"/>
      <w:szCs w:val="16"/>
    </w:rPr>
  </w:style>
  <w:style w:type="paragraph" w:styleId="SemEspaamento">
    <w:name w:val="No Spacing"/>
    <w:link w:val="SemEspaamentoChar"/>
    <w:uiPriority w:val="1"/>
    <w:qFormat/>
    <w:rsid w:val="007656E7"/>
    <w:pPr>
      <w:spacing w:after="0" w:line="240" w:lineRule="auto"/>
    </w:pPr>
  </w:style>
  <w:style w:type="table" w:styleId="Tabelacomgrade">
    <w:name w:val="Table Grid"/>
    <w:basedOn w:val="Tabelanormal"/>
    <w:uiPriority w:val="59"/>
    <w:rsid w:val="0032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4779"/>
    <w:pPr>
      <w:ind w:left="720"/>
      <w:contextualSpacing/>
    </w:pPr>
  </w:style>
  <w:style w:type="table" w:styleId="SombreamentoClaro-nfase2">
    <w:name w:val="Light Shading Accent 2"/>
    <w:basedOn w:val="Tabelanormal"/>
    <w:uiPriority w:val="60"/>
    <w:rsid w:val="00EF25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EF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ombreamentoClaro-nfase11">
    <w:name w:val="Sombreamento Claro - Ênfase 11"/>
    <w:basedOn w:val="Tabelanormal"/>
    <w:uiPriority w:val="60"/>
    <w:rsid w:val="00EF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593A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AAB"/>
  </w:style>
  <w:style w:type="paragraph" w:styleId="Rodap">
    <w:name w:val="footer"/>
    <w:basedOn w:val="Normal"/>
    <w:link w:val="RodapChar"/>
    <w:uiPriority w:val="99"/>
    <w:unhideWhenUsed/>
    <w:rsid w:val="00593AAB"/>
    <w:pPr>
      <w:tabs>
        <w:tab w:val="center" w:pos="4252"/>
        <w:tab w:val="right" w:pos="8504"/>
      </w:tabs>
      <w:spacing w:after="0" w:line="240" w:lineRule="auto"/>
    </w:pPr>
  </w:style>
  <w:style w:type="character" w:customStyle="1" w:styleId="RodapChar">
    <w:name w:val="Rodapé Char"/>
    <w:basedOn w:val="Fontepargpadro"/>
    <w:link w:val="Rodap"/>
    <w:uiPriority w:val="99"/>
    <w:rsid w:val="00593AAB"/>
  </w:style>
  <w:style w:type="paragraph" w:styleId="Corpodetexto">
    <w:name w:val="Body Text"/>
    <w:basedOn w:val="Normal"/>
    <w:link w:val="CorpodetextoChar"/>
    <w:rsid w:val="001041C9"/>
    <w:pPr>
      <w:spacing w:after="0" w:line="240" w:lineRule="auto"/>
      <w:jc w:val="both"/>
    </w:pPr>
    <w:rPr>
      <w:rFonts w:ascii="Arial Narrow" w:eastAsia="Times New Roman" w:hAnsi="Arial Narrow" w:cs="Times New Roman"/>
      <w:sz w:val="28"/>
      <w:szCs w:val="20"/>
      <w:lang w:eastAsia="pt-BR"/>
    </w:rPr>
  </w:style>
  <w:style w:type="character" w:customStyle="1" w:styleId="CorpodetextoChar">
    <w:name w:val="Corpo de texto Char"/>
    <w:basedOn w:val="Fontepargpadro"/>
    <w:link w:val="Corpodetexto"/>
    <w:rsid w:val="001041C9"/>
    <w:rPr>
      <w:rFonts w:ascii="Arial Narrow" w:eastAsia="Times New Roman" w:hAnsi="Arial Narrow" w:cs="Times New Roman"/>
      <w:sz w:val="28"/>
      <w:szCs w:val="20"/>
      <w:lang w:eastAsia="pt-BR"/>
    </w:rPr>
  </w:style>
  <w:style w:type="character" w:styleId="Forte">
    <w:name w:val="Strong"/>
    <w:basedOn w:val="Fontepargpadro"/>
    <w:uiPriority w:val="22"/>
    <w:qFormat/>
    <w:rsid w:val="001041C9"/>
    <w:rPr>
      <w:b/>
      <w:bCs/>
    </w:rPr>
  </w:style>
  <w:style w:type="character" w:customStyle="1" w:styleId="apple-converted-space">
    <w:name w:val="apple-converted-space"/>
    <w:basedOn w:val="Fontepargpadro"/>
    <w:rsid w:val="001041C9"/>
  </w:style>
  <w:style w:type="character" w:styleId="Hyperlink">
    <w:name w:val="Hyperlink"/>
    <w:basedOn w:val="Fontepargpadro"/>
    <w:uiPriority w:val="99"/>
    <w:unhideWhenUsed/>
    <w:rsid w:val="001041C9"/>
    <w:rPr>
      <w:color w:val="0000FF"/>
      <w:u w:val="single"/>
    </w:rPr>
  </w:style>
  <w:style w:type="character" w:customStyle="1" w:styleId="Ttulo1Char">
    <w:name w:val="Título 1 Char"/>
    <w:basedOn w:val="Fontepargpadro"/>
    <w:link w:val="Ttulo1"/>
    <w:uiPriority w:val="9"/>
    <w:rsid w:val="002140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8106BB"/>
    <w:rPr>
      <w:rFonts w:asciiTheme="majorHAnsi" w:eastAsiaTheme="majorEastAsia" w:hAnsiTheme="majorHAnsi" w:cstheme="majorBidi"/>
      <w:b/>
      <w:bCs/>
      <w:color w:val="4F81BD" w:themeColor="accent1"/>
    </w:rPr>
  </w:style>
  <w:style w:type="character" w:customStyle="1" w:styleId="unidade">
    <w:name w:val="unidade"/>
    <w:basedOn w:val="Fontepargpadro"/>
    <w:rsid w:val="008106BB"/>
  </w:style>
  <w:style w:type="character" w:customStyle="1" w:styleId="SemEspaamentoChar">
    <w:name w:val="Sem Espaçamento Char"/>
    <w:basedOn w:val="Fontepargpadro"/>
    <w:link w:val="SemEspaamento"/>
    <w:uiPriority w:val="1"/>
    <w:rsid w:val="00EF6EDB"/>
  </w:style>
  <w:style w:type="character" w:customStyle="1" w:styleId="Ttulo2Char">
    <w:name w:val="Título 2 Char"/>
    <w:basedOn w:val="Fontepargpadro"/>
    <w:link w:val="Ttulo2"/>
    <w:uiPriority w:val="9"/>
    <w:semiHidden/>
    <w:rsid w:val="001419CB"/>
    <w:rPr>
      <w:rFonts w:asciiTheme="majorHAnsi" w:eastAsiaTheme="majorEastAsia" w:hAnsiTheme="majorHAnsi" w:cstheme="majorBidi"/>
      <w:b/>
      <w:bCs/>
      <w:color w:val="4F81BD" w:themeColor="accent1"/>
      <w:sz w:val="26"/>
      <w:szCs w:val="26"/>
    </w:rPr>
  </w:style>
  <w:style w:type="paragraph" w:customStyle="1" w:styleId="Pa1">
    <w:name w:val="Pa1"/>
    <w:basedOn w:val="Default"/>
    <w:next w:val="Default"/>
    <w:uiPriority w:val="99"/>
    <w:rsid w:val="008821FB"/>
    <w:pPr>
      <w:spacing w:line="241" w:lineRule="atLeast"/>
    </w:pPr>
    <w:rPr>
      <w:rFonts w:ascii="Source Sans Pro" w:eastAsiaTheme="minorHAnsi" w:hAnsi="Source Sans Pro" w:cstheme="minorBidi"/>
      <w:color w:val="auto"/>
      <w:lang w:eastAsia="en-US"/>
    </w:rPr>
  </w:style>
  <w:style w:type="paragraph" w:customStyle="1" w:styleId="Pa25">
    <w:name w:val="Pa25"/>
    <w:basedOn w:val="Default"/>
    <w:next w:val="Default"/>
    <w:uiPriority w:val="99"/>
    <w:rsid w:val="008821FB"/>
    <w:pPr>
      <w:spacing w:line="201" w:lineRule="atLeast"/>
    </w:pPr>
    <w:rPr>
      <w:rFonts w:ascii="Source Sans Pro" w:eastAsiaTheme="minorHAnsi" w:hAnsi="Source Sans Pro" w:cstheme="minorBidi"/>
      <w:color w:val="auto"/>
      <w:lang w:eastAsia="en-US"/>
    </w:rPr>
  </w:style>
  <w:style w:type="paragraph" w:customStyle="1" w:styleId="Pa38">
    <w:name w:val="Pa38"/>
    <w:basedOn w:val="Default"/>
    <w:next w:val="Default"/>
    <w:uiPriority w:val="99"/>
    <w:rsid w:val="00342E82"/>
    <w:pPr>
      <w:spacing w:line="141" w:lineRule="atLeast"/>
    </w:pPr>
    <w:rPr>
      <w:rFonts w:ascii="Source Sans Pro" w:eastAsiaTheme="minorHAnsi" w:hAnsi="Source Sans Pro" w:cstheme="minorBidi"/>
      <w:color w:val="auto"/>
      <w:lang w:eastAsia="en-US"/>
    </w:rPr>
  </w:style>
  <w:style w:type="paragraph" w:customStyle="1" w:styleId="Pa0">
    <w:name w:val="Pa0"/>
    <w:basedOn w:val="Default"/>
    <w:next w:val="Default"/>
    <w:uiPriority w:val="99"/>
    <w:rsid w:val="00342E82"/>
    <w:pPr>
      <w:spacing w:line="241" w:lineRule="atLeast"/>
    </w:pPr>
    <w:rPr>
      <w:rFonts w:ascii="Source Sans Pro" w:eastAsiaTheme="minorHAnsi" w:hAnsi="Source Sans Pro" w:cstheme="minorBidi"/>
      <w:color w:val="auto"/>
      <w:lang w:eastAsia="en-US"/>
    </w:rPr>
  </w:style>
  <w:style w:type="character" w:customStyle="1" w:styleId="A20">
    <w:name w:val="A20"/>
    <w:uiPriority w:val="99"/>
    <w:rsid w:val="00342E82"/>
    <w:rPr>
      <w:rFonts w:cs="Source Sans Pro"/>
      <w:b/>
      <w:bCs/>
      <w:color w:val="000000"/>
      <w:sz w:val="14"/>
      <w:szCs w:val="14"/>
    </w:rPr>
  </w:style>
  <w:style w:type="paragraph" w:customStyle="1" w:styleId="Pa20">
    <w:name w:val="Pa20"/>
    <w:basedOn w:val="Default"/>
    <w:next w:val="Default"/>
    <w:uiPriority w:val="99"/>
    <w:rsid w:val="00342E82"/>
    <w:pPr>
      <w:spacing w:line="211" w:lineRule="atLeast"/>
    </w:pPr>
    <w:rPr>
      <w:rFonts w:ascii="Source Sans Pro" w:eastAsiaTheme="minorHAnsi" w:hAnsi="Source Sans Pro" w:cstheme="minorBidi"/>
      <w:color w:val="auto"/>
      <w:lang w:eastAsia="en-US"/>
    </w:rPr>
  </w:style>
  <w:style w:type="paragraph" w:customStyle="1" w:styleId="Pa33">
    <w:name w:val="Pa33"/>
    <w:basedOn w:val="Default"/>
    <w:next w:val="Default"/>
    <w:uiPriority w:val="99"/>
    <w:rsid w:val="00342E82"/>
    <w:pPr>
      <w:spacing w:line="211" w:lineRule="atLeast"/>
    </w:pPr>
    <w:rPr>
      <w:rFonts w:ascii="Source Sans Pro Light" w:eastAsiaTheme="minorHAnsi" w:hAnsi="Source Sans Pro Light" w:cstheme="minorBidi"/>
      <w:color w:val="auto"/>
      <w:lang w:eastAsia="en-US"/>
    </w:rPr>
  </w:style>
  <w:style w:type="paragraph" w:styleId="Textodenotaderodap">
    <w:name w:val="footnote text"/>
    <w:basedOn w:val="Normal"/>
    <w:link w:val="TextodenotaderodapChar"/>
    <w:rsid w:val="008057D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8057D1"/>
    <w:rPr>
      <w:rFonts w:ascii="Times New Roman" w:eastAsia="Times New Roman" w:hAnsi="Times New Roman" w:cs="Times New Roman"/>
      <w:sz w:val="20"/>
      <w:szCs w:val="20"/>
      <w:lang w:eastAsia="pt-BR"/>
    </w:rPr>
  </w:style>
  <w:style w:type="character" w:styleId="Refdenotaderodap">
    <w:name w:val="footnote reference"/>
    <w:rsid w:val="008057D1"/>
    <w:rPr>
      <w:vertAlign w:val="superscript"/>
    </w:rPr>
  </w:style>
  <w:style w:type="character" w:customStyle="1" w:styleId="ircho">
    <w:name w:val="irc_ho"/>
    <w:basedOn w:val="Fontepargpadro"/>
    <w:rsid w:val="00813DD2"/>
  </w:style>
  <w:style w:type="table" w:customStyle="1" w:styleId="TabeladeGrade1Clara-nfase11">
    <w:name w:val="Tabela de Grade 1 Clara - Ênfase 11"/>
    <w:basedOn w:val="Tabelanormal"/>
    <w:uiPriority w:val="46"/>
    <w:rsid w:val="00EC523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A03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F539F4"/>
    <w:pPr>
      <w:tabs>
        <w:tab w:val="decimal" w:pos="360"/>
      </w:tabs>
    </w:pPr>
    <w:rPr>
      <w:rFonts w:eastAsiaTheme="minorEastAsia" w:cs="Times New Roman"/>
      <w:lang w:eastAsia="pt-BR"/>
    </w:rPr>
  </w:style>
  <w:style w:type="character" w:styleId="nfaseSutil">
    <w:name w:val="Subtle Emphasis"/>
    <w:basedOn w:val="Fontepargpadro"/>
    <w:uiPriority w:val="19"/>
    <w:qFormat/>
    <w:rsid w:val="00F539F4"/>
    <w:rPr>
      <w:i/>
      <w:iCs/>
    </w:rPr>
  </w:style>
  <w:style w:type="character" w:styleId="nfase">
    <w:name w:val="Emphasis"/>
    <w:basedOn w:val="Fontepargpadro"/>
    <w:uiPriority w:val="20"/>
    <w:qFormat/>
    <w:rsid w:val="008A3226"/>
    <w:rPr>
      <w:i/>
      <w:iCs/>
    </w:rPr>
  </w:style>
  <w:style w:type="character" w:customStyle="1" w:styleId="Ttulo5Char">
    <w:name w:val="Título 5 Char"/>
    <w:basedOn w:val="Fontepargpadro"/>
    <w:link w:val="Ttulo5"/>
    <w:uiPriority w:val="9"/>
    <w:rsid w:val="00AC2E48"/>
    <w:rPr>
      <w:rFonts w:asciiTheme="majorHAnsi" w:eastAsiaTheme="majorEastAsia" w:hAnsiTheme="majorHAnsi" w:cstheme="majorBidi"/>
      <w:color w:val="365F91" w:themeColor="accent1" w:themeShade="BF"/>
    </w:rPr>
  </w:style>
  <w:style w:type="table" w:customStyle="1" w:styleId="TabeladeGrade1Clara-nfase12">
    <w:name w:val="Tabela de Grade 1 Clara - Ênfase 12"/>
    <w:basedOn w:val="Tabelanormal"/>
    <w:uiPriority w:val="46"/>
    <w:rsid w:val="00C37F5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rsid w:val="00C37F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deGrade7Colorida-nfase11">
    <w:name w:val="Tabela de Grade 7 Colorida - Ênfase 11"/>
    <w:basedOn w:val="Tabelanormal"/>
    <w:uiPriority w:val="52"/>
    <w:rsid w:val="00C37F5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deGrade4-nfase11">
    <w:name w:val="Tabela de Grade 4 - Ênfase 11"/>
    <w:basedOn w:val="Tabelanormal"/>
    <w:uiPriority w:val="49"/>
    <w:rsid w:val="00C37F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cuodecorpodetexto21">
    <w:name w:val="Recuo de corpo de texto 21"/>
    <w:basedOn w:val="Normal"/>
    <w:rsid w:val="00E857DA"/>
    <w:pPr>
      <w:suppressAutoHyphens/>
      <w:spacing w:after="120" w:line="480" w:lineRule="auto"/>
      <w:ind w:left="283"/>
    </w:pPr>
    <w:rPr>
      <w:rFonts w:ascii="Liberation Serif" w:eastAsia="SimSun" w:hAnsi="Liberation Serif" w:cs="Mangal"/>
      <w:kern w:val="1"/>
      <w:sz w:val="28"/>
      <w:szCs w:val="20"/>
      <w:lang w:eastAsia="zh-CN" w:bidi="hi-IN"/>
    </w:rPr>
  </w:style>
  <w:style w:type="table" w:customStyle="1" w:styleId="TabeladeGrade4-nfase52">
    <w:name w:val="Tabela de Grade 4 - Ênfase 52"/>
    <w:basedOn w:val="Tabelanormal"/>
    <w:uiPriority w:val="49"/>
    <w:rsid w:val="00CD04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2-nfase51">
    <w:name w:val="Tabela de Grade 2 - Ênfase 51"/>
    <w:basedOn w:val="Tabelanormal"/>
    <w:uiPriority w:val="47"/>
    <w:rsid w:val="00CD042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64">
      <w:bodyDiv w:val="1"/>
      <w:marLeft w:val="0"/>
      <w:marRight w:val="0"/>
      <w:marTop w:val="0"/>
      <w:marBottom w:val="0"/>
      <w:divBdr>
        <w:top w:val="none" w:sz="0" w:space="0" w:color="auto"/>
        <w:left w:val="none" w:sz="0" w:space="0" w:color="auto"/>
        <w:bottom w:val="none" w:sz="0" w:space="0" w:color="auto"/>
        <w:right w:val="none" w:sz="0" w:space="0" w:color="auto"/>
      </w:divBdr>
    </w:div>
    <w:div w:id="33118317">
      <w:bodyDiv w:val="1"/>
      <w:marLeft w:val="0"/>
      <w:marRight w:val="0"/>
      <w:marTop w:val="0"/>
      <w:marBottom w:val="0"/>
      <w:divBdr>
        <w:top w:val="none" w:sz="0" w:space="0" w:color="auto"/>
        <w:left w:val="none" w:sz="0" w:space="0" w:color="auto"/>
        <w:bottom w:val="none" w:sz="0" w:space="0" w:color="auto"/>
        <w:right w:val="none" w:sz="0" w:space="0" w:color="auto"/>
      </w:divBdr>
    </w:div>
    <w:div w:id="36517405">
      <w:bodyDiv w:val="1"/>
      <w:marLeft w:val="0"/>
      <w:marRight w:val="0"/>
      <w:marTop w:val="0"/>
      <w:marBottom w:val="0"/>
      <w:divBdr>
        <w:top w:val="none" w:sz="0" w:space="0" w:color="auto"/>
        <w:left w:val="none" w:sz="0" w:space="0" w:color="auto"/>
        <w:bottom w:val="none" w:sz="0" w:space="0" w:color="auto"/>
        <w:right w:val="none" w:sz="0" w:space="0" w:color="auto"/>
      </w:divBdr>
    </w:div>
    <w:div w:id="41179772">
      <w:bodyDiv w:val="1"/>
      <w:marLeft w:val="0"/>
      <w:marRight w:val="0"/>
      <w:marTop w:val="0"/>
      <w:marBottom w:val="0"/>
      <w:divBdr>
        <w:top w:val="none" w:sz="0" w:space="0" w:color="auto"/>
        <w:left w:val="none" w:sz="0" w:space="0" w:color="auto"/>
        <w:bottom w:val="none" w:sz="0" w:space="0" w:color="auto"/>
        <w:right w:val="none" w:sz="0" w:space="0" w:color="auto"/>
      </w:divBdr>
    </w:div>
    <w:div w:id="48384204">
      <w:bodyDiv w:val="1"/>
      <w:marLeft w:val="0"/>
      <w:marRight w:val="0"/>
      <w:marTop w:val="0"/>
      <w:marBottom w:val="0"/>
      <w:divBdr>
        <w:top w:val="none" w:sz="0" w:space="0" w:color="auto"/>
        <w:left w:val="none" w:sz="0" w:space="0" w:color="auto"/>
        <w:bottom w:val="none" w:sz="0" w:space="0" w:color="auto"/>
        <w:right w:val="none" w:sz="0" w:space="0" w:color="auto"/>
      </w:divBdr>
    </w:div>
    <w:div w:id="81219091">
      <w:bodyDiv w:val="1"/>
      <w:marLeft w:val="0"/>
      <w:marRight w:val="0"/>
      <w:marTop w:val="0"/>
      <w:marBottom w:val="0"/>
      <w:divBdr>
        <w:top w:val="none" w:sz="0" w:space="0" w:color="auto"/>
        <w:left w:val="none" w:sz="0" w:space="0" w:color="auto"/>
        <w:bottom w:val="none" w:sz="0" w:space="0" w:color="auto"/>
        <w:right w:val="none" w:sz="0" w:space="0" w:color="auto"/>
      </w:divBdr>
    </w:div>
    <w:div w:id="81489566">
      <w:bodyDiv w:val="1"/>
      <w:marLeft w:val="0"/>
      <w:marRight w:val="0"/>
      <w:marTop w:val="0"/>
      <w:marBottom w:val="0"/>
      <w:divBdr>
        <w:top w:val="none" w:sz="0" w:space="0" w:color="auto"/>
        <w:left w:val="none" w:sz="0" w:space="0" w:color="auto"/>
        <w:bottom w:val="none" w:sz="0" w:space="0" w:color="auto"/>
        <w:right w:val="none" w:sz="0" w:space="0" w:color="auto"/>
      </w:divBdr>
    </w:div>
    <w:div w:id="132601017">
      <w:bodyDiv w:val="1"/>
      <w:marLeft w:val="0"/>
      <w:marRight w:val="0"/>
      <w:marTop w:val="0"/>
      <w:marBottom w:val="0"/>
      <w:divBdr>
        <w:top w:val="none" w:sz="0" w:space="0" w:color="auto"/>
        <w:left w:val="none" w:sz="0" w:space="0" w:color="auto"/>
        <w:bottom w:val="none" w:sz="0" w:space="0" w:color="auto"/>
        <w:right w:val="none" w:sz="0" w:space="0" w:color="auto"/>
      </w:divBdr>
    </w:div>
    <w:div w:id="133566676">
      <w:bodyDiv w:val="1"/>
      <w:marLeft w:val="0"/>
      <w:marRight w:val="0"/>
      <w:marTop w:val="0"/>
      <w:marBottom w:val="0"/>
      <w:divBdr>
        <w:top w:val="none" w:sz="0" w:space="0" w:color="auto"/>
        <w:left w:val="none" w:sz="0" w:space="0" w:color="auto"/>
        <w:bottom w:val="none" w:sz="0" w:space="0" w:color="auto"/>
        <w:right w:val="none" w:sz="0" w:space="0" w:color="auto"/>
      </w:divBdr>
    </w:div>
    <w:div w:id="147745866">
      <w:bodyDiv w:val="1"/>
      <w:marLeft w:val="0"/>
      <w:marRight w:val="0"/>
      <w:marTop w:val="0"/>
      <w:marBottom w:val="0"/>
      <w:divBdr>
        <w:top w:val="none" w:sz="0" w:space="0" w:color="auto"/>
        <w:left w:val="none" w:sz="0" w:space="0" w:color="auto"/>
        <w:bottom w:val="none" w:sz="0" w:space="0" w:color="auto"/>
        <w:right w:val="none" w:sz="0" w:space="0" w:color="auto"/>
      </w:divBdr>
      <w:divsChild>
        <w:div w:id="1853955401">
          <w:marLeft w:val="0"/>
          <w:marRight w:val="0"/>
          <w:marTop w:val="0"/>
          <w:marBottom w:val="0"/>
          <w:divBdr>
            <w:top w:val="none" w:sz="0" w:space="0" w:color="auto"/>
            <w:left w:val="none" w:sz="0" w:space="0" w:color="auto"/>
            <w:bottom w:val="none" w:sz="0" w:space="0" w:color="auto"/>
            <w:right w:val="none" w:sz="0" w:space="0" w:color="auto"/>
          </w:divBdr>
          <w:divsChild>
            <w:div w:id="742486701">
              <w:marLeft w:val="0"/>
              <w:marRight w:val="0"/>
              <w:marTop w:val="0"/>
              <w:marBottom w:val="0"/>
              <w:divBdr>
                <w:top w:val="none" w:sz="0" w:space="0" w:color="auto"/>
                <w:left w:val="none" w:sz="0" w:space="0" w:color="auto"/>
                <w:bottom w:val="none" w:sz="0" w:space="0" w:color="auto"/>
                <w:right w:val="none" w:sz="0" w:space="0" w:color="auto"/>
              </w:divBdr>
            </w:div>
          </w:divsChild>
        </w:div>
        <w:div w:id="2031760860">
          <w:marLeft w:val="0"/>
          <w:marRight w:val="0"/>
          <w:marTop w:val="0"/>
          <w:marBottom w:val="0"/>
          <w:divBdr>
            <w:top w:val="none" w:sz="0" w:space="0" w:color="auto"/>
            <w:left w:val="none" w:sz="0" w:space="0" w:color="auto"/>
            <w:bottom w:val="none" w:sz="0" w:space="0" w:color="auto"/>
            <w:right w:val="none" w:sz="0" w:space="0" w:color="auto"/>
          </w:divBdr>
          <w:divsChild>
            <w:div w:id="433400448">
              <w:marLeft w:val="0"/>
              <w:marRight w:val="0"/>
              <w:marTop w:val="0"/>
              <w:marBottom w:val="0"/>
              <w:divBdr>
                <w:top w:val="none" w:sz="0" w:space="0" w:color="auto"/>
                <w:left w:val="none" w:sz="0" w:space="0" w:color="auto"/>
                <w:bottom w:val="none" w:sz="0" w:space="0" w:color="auto"/>
                <w:right w:val="none" w:sz="0" w:space="0" w:color="auto"/>
              </w:divBdr>
            </w:div>
          </w:divsChild>
        </w:div>
        <w:div w:id="1465730326">
          <w:marLeft w:val="0"/>
          <w:marRight w:val="0"/>
          <w:marTop w:val="0"/>
          <w:marBottom w:val="0"/>
          <w:divBdr>
            <w:top w:val="none" w:sz="0" w:space="0" w:color="auto"/>
            <w:left w:val="none" w:sz="0" w:space="0" w:color="auto"/>
            <w:bottom w:val="none" w:sz="0" w:space="0" w:color="auto"/>
            <w:right w:val="none" w:sz="0" w:space="0" w:color="auto"/>
          </w:divBdr>
          <w:divsChild>
            <w:div w:id="1307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8452">
      <w:bodyDiv w:val="1"/>
      <w:marLeft w:val="0"/>
      <w:marRight w:val="0"/>
      <w:marTop w:val="0"/>
      <w:marBottom w:val="0"/>
      <w:divBdr>
        <w:top w:val="none" w:sz="0" w:space="0" w:color="auto"/>
        <w:left w:val="none" w:sz="0" w:space="0" w:color="auto"/>
        <w:bottom w:val="none" w:sz="0" w:space="0" w:color="auto"/>
        <w:right w:val="none" w:sz="0" w:space="0" w:color="auto"/>
      </w:divBdr>
    </w:div>
    <w:div w:id="158467859">
      <w:bodyDiv w:val="1"/>
      <w:marLeft w:val="0"/>
      <w:marRight w:val="0"/>
      <w:marTop w:val="0"/>
      <w:marBottom w:val="0"/>
      <w:divBdr>
        <w:top w:val="none" w:sz="0" w:space="0" w:color="auto"/>
        <w:left w:val="none" w:sz="0" w:space="0" w:color="auto"/>
        <w:bottom w:val="none" w:sz="0" w:space="0" w:color="auto"/>
        <w:right w:val="none" w:sz="0" w:space="0" w:color="auto"/>
      </w:divBdr>
      <w:divsChild>
        <w:div w:id="74598006">
          <w:marLeft w:val="0"/>
          <w:marRight w:val="0"/>
          <w:marTop w:val="0"/>
          <w:marBottom w:val="0"/>
          <w:divBdr>
            <w:top w:val="none" w:sz="0" w:space="0" w:color="auto"/>
            <w:left w:val="none" w:sz="0" w:space="0" w:color="auto"/>
            <w:bottom w:val="none" w:sz="0" w:space="0" w:color="auto"/>
            <w:right w:val="none" w:sz="0" w:space="0" w:color="auto"/>
          </w:divBdr>
        </w:div>
        <w:div w:id="81265968">
          <w:marLeft w:val="0"/>
          <w:marRight w:val="0"/>
          <w:marTop w:val="0"/>
          <w:marBottom w:val="0"/>
          <w:divBdr>
            <w:top w:val="none" w:sz="0" w:space="0" w:color="auto"/>
            <w:left w:val="none" w:sz="0" w:space="0" w:color="auto"/>
            <w:bottom w:val="none" w:sz="0" w:space="0" w:color="auto"/>
            <w:right w:val="none" w:sz="0" w:space="0" w:color="auto"/>
          </w:divBdr>
        </w:div>
        <w:div w:id="663751360">
          <w:marLeft w:val="0"/>
          <w:marRight w:val="0"/>
          <w:marTop w:val="0"/>
          <w:marBottom w:val="0"/>
          <w:divBdr>
            <w:top w:val="none" w:sz="0" w:space="0" w:color="auto"/>
            <w:left w:val="none" w:sz="0" w:space="0" w:color="auto"/>
            <w:bottom w:val="none" w:sz="0" w:space="0" w:color="auto"/>
            <w:right w:val="none" w:sz="0" w:space="0" w:color="auto"/>
          </w:divBdr>
        </w:div>
        <w:div w:id="1314942520">
          <w:marLeft w:val="0"/>
          <w:marRight w:val="0"/>
          <w:marTop w:val="0"/>
          <w:marBottom w:val="0"/>
          <w:divBdr>
            <w:top w:val="none" w:sz="0" w:space="0" w:color="auto"/>
            <w:left w:val="none" w:sz="0" w:space="0" w:color="auto"/>
            <w:bottom w:val="none" w:sz="0" w:space="0" w:color="auto"/>
            <w:right w:val="none" w:sz="0" w:space="0" w:color="auto"/>
          </w:divBdr>
        </w:div>
      </w:divsChild>
    </w:div>
    <w:div w:id="162942420">
      <w:bodyDiv w:val="1"/>
      <w:marLeft w:val="0"/>
      <w:marRight w:val="0"/>
      <w:marTop w:val="0"/>
      <w:marBottom w:val="0"/>
      <w:divBdr>
        <w:top w:val="none" w:sz="0" w:space="0" w:color="auto"/>
        <w:left w:val="none" w:sz="0" w:space="0" w:color="auto"/>
        <w:bottom w:val="none" w:sz="0" w:space="0" w:color="auto"/>
        <w:right w:val="none" w:sz="0" w:space="0" w:color="auto"/>
      </w:divBdr>
    </w:div>
    <w:div w:id="195969834">
      <w:bodyDiv w:val="1"/>
      <w:marLeft w:val="0"/>
      <w:marRight w:val="0"/>
      <w:marTop w:val="0"/>
      <w:marBottom w:val="0"/>
      <w:divBdr>
        <w:top w:val="none" w:sz="0" w:space="0" w:color="auto"/>
        <w:left w:val="none" w:sz="0" w:space="0" w:color="auto"/>
        <w:bottom w:val="none" w:sz="0" w:space="0" w:color="auto"/>
        <w:right w:val="none" w:sz="0" w:space="0" w:color="auto"/>
      </w:divBdr>
      <w:divsChild>
        <w:div w:id="1223251350">
          <w:marLeft w:val="0"/>
          <w:marRight w:val="0"/>
          <w:marTop w:val="75"/>
          <w:marBottom w:val="0"/>
          <w:divBdr>
            <w:top w:val="none" w:sz="0" w:space="0" w:color="auto"/>
            <w:left w:val="none" w:sz="0" w:space="0" w:color="auto"/>
            <w:bottom w:val="none" w:sz="0" w:space="0" w:color="auto"/>
            <w:right w:val="none" w:sz="0" w:space="0" w:color="auto"/>
          </w:divBdr>
        </w:div>
        <w:div w:id="1699506469">
          <w:marLeft w:val="0"/>
          <w:marRight w:val="225"/>
          <w:marTop w:val="0"/>
          <w:marBottom w:val="0"/>
          <w:divBdr>
            <w:top w:val="single" w:sz="6" w:space="0" w:color="EEEEEE"/>
            <w:left w:val="single" w:sz="6" w:space="0" w:color="EEEEEE"/>
            <w:bottom w:val="single" w:sz="6" w:space="0" w:color="EEEEEE"/>
            <w:right w:val="single" w:sz="6" w:space="0" w:color="EEEEEE"/>
          </w:divBdr>
          <w:divsChild>
            <w:div w:id="1968005543">
              <w:marLeft w:val="0"/>
              <w:marRight w:val="0"/>
              <w:marTop w:val="0"/>
              <w:marBottom w:val="0"/>
              <w:divBdr>
                <w:top w:val="none" w:sz="0" w:space="0" w:color="auto"/>
                <w:left w:val="none" w:sz="0" w:space="0" w:color="auto"/>
                <w:bottom w:val="none" w:sz="0" w:space="0" w:color="auto"/>
                <w:right w:val="none" w:sz="0" w:space="0" w:color="auto"/>
              </w:divBdr>
            </w:div>
          </w:divsChild>
        </w:div>
        <w:div w:id="1556359164">
          <w:marLeft w:val="0"/>
          <w:marRight w:val="0"/>
          <w:marTop w:val="0"/>
          <w:marBottom w:val="0"/>
          <w:divBdr>
            <w:top w:val="none" w:sz="0" w:space="0" w:color="auto"/>
            <w:left w:val="none" w:sz="0" w:space="0" w:color="auto"/>
            <w:bottom w:val="none" w:sz="0" w:space="0" w:color="auto"/>
            <w:right w:val="none" w:sz="0" w:space="0" w:color="auto"/>
          </w:divBdr>
        </w:div>
      </w:divsChild>
    </w:div>
    <w:div w:id="197745116">
      <w:bodyDiv w:val="1"/>
      <w:marLeft w:val="0"/>
      <w:marRight w:val="0"/>
      <w:marTop w:val="0"/>
      <w:marBottom w:val="0"/>
      <w:divBdr>
        <w:top w:val="none" w:sz="0" w:space="0" w:color="auto"/>
        <w:left w:val="none" w:sz="0" w:space="0" w:color="auto"/>
        <w:bottom w:val="none" w:sz="0" w:space="0" w:color="auto"/>
        <w:right w:val="none" w:sz="0" w:space="0" w:color="auto"/>
      </w:divBdr>
    </w:div>
    <w:div w:id="200746627">
      <w:bodyDiv w:val="1"/>
      <w:marLeft w:val="0"/>
      <w:marRight w:val="0"/>
      <w:marTop w:val="0"/>
      <w:marBottom w:val="0"/>
      <w:divBdr>
        <w:top w:val="none" w:sz="0" w:space="0" w:color="auto"/>
        <w:left w:val="none" w:sz="0" w:space="0" w:color="auto"/>
        <w:bottom w:val="none" w:sz="0" w:space="0" w:color="auto"/>
        <w:right w:val="none" w:sz="0" w:space="0" w:color="auto"/>
      </w:divBdr>
    </w:div>
    <w:div w:id="210962268">
      <w:bodyDiv w:val="1"/>
      <w:marLeft w:val="0"/>
      <w:marRight w:val="0"/>
      <w:marTop w:val="0"/>
      <w:marBottom w:val="0"/>
      <w:divBdr>
        <w:top w:val="none" w:sz="0" w:space="0" w:color="auto"/>
        <w:left w:val="none" w:sz="0" w:space="0" w:color="auto"/>
        <w:bottom w:val="none" w:sz="0" w:space="0" w:color="auto"/>
        <w:right w:val="none" w:sz="0" w:space="0" w:color="auto"/>
      </w:divBdr>
    </w:div>
    <w:div w:id="258877390">
      <w:bodyDiv w:val="1"/>
      <w:marLeft w:val="0"/>
      <w:marRight w:val="0"/>
      <w:marTop w:val="0"/>
      <w:marBottom w:val="0"/>
      <w:divBdr>
        <w:top w:val="none" w:sz="0" w:space="0" w:color="auto"/>
        <w:left w:val="none" w:sz="0" w:space="0" w:color="auto"/>
        <w:bottom w:val="none" w:sz="0" w:space="0" w:color="auto"/>
        <w:right w:val="none" w:sz="0" w:space="0" w:color="auto"/>
      </w:divBdr>
    </w:div>
    <w:div w:id="280263526">
      <w:bodyDiv w:val="1"/>
      <w:marLeft w:val="0"/>
      <w:marRight w:val="0"/>
      <w:marTop w:val="0"/>
      <w:marBottom w:val="0"/>
      <w:divBdr>
        <w:top w:val="none" w:sz="0" w:space="0" w:color="auto"/>
        <w:left w:val="none" w:sz="0" w:space="0" w:color="auto"/>
        <w:bottom w:val="none" w:sz="0" w:space="0" w:color="auto"/>
        <w:right w:val="none" w:sz="0" w:space="0" w:color="auto"/>
      </w:divBdr>
    </w:div>
    <w:div w:id="288165192">
      <w:bodyDiv w:val="1"/>
      <w:marLeft w:val="0"/>
      <w:marRight w:val="0"/>
      <w:marTop w:val="0"/>
      <w:marBottom w:val="0"/>
      <w:divBdr>
        <w:top w:val="none" w:sz="0" w:space="0" w:color="auto"/>
        <w:left w:val="none" w:sz="0" w:space="0" w:color="auto"/>
        <w:bottom w:val="none" w:sz="0" w:space="0" w:color="auto"/>
        <w:right w:val="none" w:sz="0" w:space="0" w:color="auto"/>
      </w:divBdr>
    </w:div>
    <w:div w:id="301235176">
      <w:bodyDiv w:val="1"/>
      <w:marLeft w:val="0"/>
      <w:marRight w:val="0"/>
      <w:marTop w:val="0"/>
      <w:marBottom w:val="0"/>
      <w:divBdr>
        <w:top w:val="none" w:sz="0" w:space="0" w:color="auto"/>
        <w:left w:val="none" w:sz="0" w:space="0" w:color="auto"/>
        <w:bottom w:val="none" w:sz="0" w:space="0" w:color="auto"/>
        <w:right w:val="none" w:sz="0" w:space="0" w:color="auto"/>
      </w:divBdr>
      <w:divsChild>
        <w:div w:id="1537501785">
          <w:marLeft w:val="0"/>
          <w:marRight w:val="0"/>
          <w:marTop w:val="0"/>
          <w:marBottom w:val="0"/>
          <w:divBdr>
            <w:top w:val="none" w:sz="0" w:space="0" w:color="auto"/>
            <w:left w:val="none" w:sz="0" w:space="0" w:color="auto"/>
            <w:bottom w:val="none" w:sz="0" w:space="0" w:color="auto"/>
            <w:right w:val="none" w:sz="0" w:space="0" w:color="auto"/>
          </w:divBdr>
        </w:div>
      </w:divsChild>
    </w:div>
    <w:div w:id="318114509">
      <w:bodyDiv w:val="1"/>
      <w:marLeft w:val="0"/>
      <w:marRight w:val="0"/>
      <w:marTop w:val="0"/>
      <w:marBottom w:val="0"/>
      <w:divBdr>
        <w:top w:val="none" w:sz="0" w:space="0" w:color="auto"/>
        <w:left w:val="none" w:sz="0" w:space="0" w:color="auto"/>
        <w:bottom w:val="none" w:sz="0" w:space="0" w:color="auto"/>
        <w:right w:val="none" w:sz="0" w:space="0" w:color="auto"/>
      </w:divBdr>
    </w:div>
    <w:div w:id="330914603">
      <w:bodyDiv w:val="1"/>
      <w:marLeft w:val="0"/>
      <w:marRight w:val="0"/>
      <w:marTop w:val="0"/>
      <w:marBottom w:val="0"/>
      <w:divBdr>
        <w:top w:val="none" w:sz="0" w:space="0" w:color="auto"/>
        <w:left w:val="none" w:sz="0" w:space="0" w:color="auto"/>
        <w:bottom w:val="none" w:sz="0" w:space="0" w:color="auto"/>
        <w:right w:val="none" w:sz="0" w:space="0" w:color="auto"/>
      </w:divBdr>
    </w:div>
    <w:div w:id="345716436">
      <w:bodyDiv w:val="1"/>
      <w:marLeft w:val="0"/>
      <w:marRight w:val="0"/>
      <w:marTop w:val="0"/>
      <w:marBottom w:val="0"/>
      <w:divBdr>
        <w:top w:val="none" w:sz="0" w:space="0" w:color="auto"/>
        <w:left w:val="none" w:sz="0" w:space="0" w:color="auto"/>
        <w:bottom w:val="none" w:sz="0" w:space="0" w:color="auto"/>
        <w:right w:val="none" w:sz="0" w:space="0" w:color="auto"/>
      </w:divBdr>
    </w:div>
    <w:div w:id="391076580">
      <w:bodyDiv w:val="1"/>
      <w:marLeft w:val="0"/>
      <w:marRight w:val="0"/>
      <w:marTop w:val="0"/>
      <w:marBottom w:val="0"/>
      <w:divBdr>
        <w:top w:val="none" w:sz="0" w:space="0" w:color="auto"/>
        <w:left w:val="none" w:sz="0" w:space="0" w:color="auto"/>
        <w:bottom w:val="none" w:sz="0" w:space="0" w:color="auto"/>
        <w:right w:val="none" w:sz="0" w:space="0" w:color="auto"/>
      </w:divBdr>
    </w:div>
    <w:div w:id="415783384">
      <w:bodyDiv w:val="1"/>
      <w:marLeft w:val="0"/>
      <w:marRight w:val="0"/>
      <w:marTop w:val="0"/>
      <w:marBottom w:val="0"/>
      <w:divBdr>
        <w:top w:val="none" w:sz="0" w:space="0" w:color="auto"/>
        <w:left w:val="none" w:sz="0" w:space="0" w:color="auto"/>
        <w:bottom w:val="none" w:sz="0" w:space="0" w:color="auto"/>
        <w:right w:val="none" w:sz="0" w:space="0" w:color="auto"/>
      </w:divBdr>
    </w:div>
    <w:div w:id="418328414">
      <w:bodyDiv w:val="1"/>
      <w:marLeft w:val="0"/>
      <w:marRight w:val="0"/>
      <w:marTop w:val="0"/>
      <w:marBottom w:val="0"/>
      <w:divBdr>
        <w:top w:val="none" w:sz="0" w:space="0" w:color="auto"/>
        <w:left w:val="none" w:sz="0" w:space="0" w:color="auto"/>
        <w:bottom w:val="none" w:sz="0" w:space="0" w:color="auto"/>
        <w:right w:val="none" w:sz="0" w:space="0" w:color="auto"/>
      </w:divBdr>
    </w:div>
    <w:div w:id="425813089">
      <w:bodyDiv w:val="1"/>
      <w:marLeft w:val="0"/>
      <w:marRight w:val="0"/>
      <w:marTop w:val="0"/>
      <w:marBottom w:val="0"/>
      <w:divBdr>
        <w:top w:val="none" w:sz="0" w:space="0" w:color="auto"/>
        <w:left w:val="none" w:sz="0" w:space="0" w:color="auto"/>
        <w:bottom w:val="none" w:sz="0" w:space="0" w:color="auto"/>
        <w:right w:val="none" w:sz="0" w:space="0" w:color="auto"/>
      </w:divBdr>
      <w:divsChild>
        <w:div w:id="57284317">
          <w:marLeft w:val="0"/>
          <w:marRight w:val="0"/>
          <w:marTop w:val="0"/>
          <w:marBottom w:val="0"/>
          <w:divBdr>
            <w:top w:val="none" w:sz="0" w:space="0" w:color="auto"/>
            <w:left w:val="none" w:sz="0" w:space="0" w:color="auto"/>
            <w:bottom w:val="none" w:sz="0" w:space="0" w:color="auto"/>
            <w:right w:val="none" w:sz="0" w:space="0" w:color="auto"/>
          </w:divBdr>
        </w:div>
      </w:divsChild>
    </w:div>
    <w:div w:id="448551447">
      <w:bodyDiv w:val="1"/>
      <w:marLeft w:val="0"/>
      <w:marRight w:val="0"/>
      <w:marTop w:val="0"/>
      <w:marBottom w:val="0"/>
      <w:divBdr>
        <w:top w:val="none" w:sz="0" w:space="0" w:color="auto"/>
        <w:left w:val="none" w:sz="0" w:space="0" w:color="auto"/>
        <w:bottom w:val="none" w:sz="0" w:space="0" w:color="auto"/>
        <w:right w:val="none" w:sz="0" w:space="0" w:color="auto"/>
      </w:divBdr>
    </w:div>
    <w:div w:id="471363760">
      <w:bodyDiv w:val="1"/>
      <w:marLeft w:val="0"/>
      <w:marRight w:val="0"/>
      <w:marTop w:val="0"/>
      <w:marBottom w:val="0"/>
      <w:divBdr>
        <w:top w:val="none" w:sz="0" w:space="0" w:color="auto"/>
        <w:left w:val="none" w:sz="0" w:space="0" w:color="auto"/>
        <w:bottom w:val="none" w:sz="0" w:space="0" w:color="auto"/>
        <w:right w:val="none" w:sz="0" w:space="0" w:color="auto"/>
      </w:divBdr>
    </w:div>
    <w:div w:id="507989874">
      <w:bodyDiv w:val="1"/>
      <w:marLeft w:val="0"/>
      <w:marRight w:val="0"/>
      <w:marTop w:val="0"/>
      <w:marBottom w:val="0"/>
      <w:divBdr>
        <w:top w:val="none" w:sz="0" w:space="0" w:color="auto"/>
        <w:left w:val="none" w:sz="0" w:space="0" w:color="auto"/>
        <w:bottom w:val="none" w:sz="0" w:space="0" w:color="auto"/>
        <w:right w:val="none" w:sz="0" w:space="0" w:color="auto"/>
      </w:divBdr>
    </w:div>
    <w:div w:id="517349895">
      <w:bodyDiv w:val="1"/>
      <w:marLeft w:val="0"/>
      <w:marRight w:val="0"/>
      <w:marTop w:val="0"/>
      <w:marBottom w:val="0"/>
      <w:divBdr>
        <w:top w:val="none" w:sz="0" w:space="0" w:color="auto"/>
        <w:left w:val="none" w:sz="0" w:space="0" w:color="auto"/>
        <w:bottom w:val="none" w:sz="0" w:space="0" w:color="auto"/>
        <w:right w:val="none" w:sz="0" w:space="0" w:color="auto"/>
      </w:divBdr>
    </w:div>
    <w:div w:id="548490462">
      <w:bodyDiv w:val="1"/>
      <w:marLeft w:val="0"/>
      <w:marRight w:val="0"/>
      <w:marTop w:val="0"/>
      <w:marBottom w:val="0"/>
      <w:divBdr>
        <w:top w:val="none" w:sz="0" w:space="0" w:color="auto"/>
        <w:left w:val="none" w:sz="0" w:space="0" w:color="auto"/>
        <w:bottom w:val="none" w:sz="0" w:space="0" w:color="auto"/>
        <w:right w:val="none" w:sz="0" w:space="0" w:color="auto"/>
      </w:divBdr>
    </w:div>
    <w:div w:id="575631374">
      <w:bodyDiv w:val="1"/>
      <w:marLeft w:val="0"/>
      <w:marRight w:val="0"/>
      <w:marTop w:val="0"/>
      <w:marBottom w:val="0"/>
      <w:divBdr>
        <w:top w:val="none" w:sz="0" w:space="0" w:color="auto"/>
        <w:left w:val="none" w:sz="0" w:space="0" w:color="auto"/>
        <w:bottom w:val="none" w:sz="0" w:space="0" w:color="auto"/>
        <w:right w:val="none" w:sz="0" w:space="0" w:color="auto"/>
      </w:divBdr>
    </w:div>
    <w:div w:id="582225895">
      <w:bodyDiv w:val="1"/>
      <w:marLeft w:val="0"/>
      <w:marRight w:val="0"/>
      <w:marTop w:val="0"/>
      <w:marBottom w:val="0"/>
      <w:divBdr>
        <w:top w:val="none" w:sz="0" w:space="0" w:color="auto"/>
        <w:left w:val="none" w:sz="0" w:space="0" w:color="auto"/>
        <w:bottom w:val="none" w:sz="0" w:space="0" w:color="auto"/>
        <w:right w:val="none" w:sz="0" w:space="0" w:color="auto"/>
      </w:divBdr>
    </w:div>
    <w:div w:id="582764360">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4">
          <w:marLeft w:val="547"/>
          <w:marRight w:val="0"/>
          <w:marTop w:val="0"/>
          <w:marBottom w:val="0"/>
          <w:divBdr>
            <w:top w:val="none" w:sz="0" w:space="0" w:color="auto"/>
            <w:left w:val="none" w:sz="0" w:space="0" w:color="auto"/>
            <w:bottom w:val="none" w:sz="0" w:space="0" w:color="auto"/>
            <w:right w:val="none" w:sz="0" w:space="0" w:color="auto"/>
          </w:divBdr>
        </w:div>
      </w:divsChild>
    </w:div>
    <w:div w:id="588973385">
      <w:bodyDiv w:val="1"/>
      <w:marLeft w:val="0"/>
      <w:marRight w:val="0"/>
      <w:marTop w:val="0"/>
      <w:marBottom w:val="0"/>
      <w:divBdr>
        <w:top w:val="none" w:sz="0" w:space="0" w:color="auto"/>
        <w:left w:val="none" w:sz="0" w:space="0" w:color="auto"/>
        <w:bottom w:val="none" w:sz="0" w:space="0" w:color="auto"/>
        <w:right w:val="none" w:sz="0" w:space="0" w:color="auto"/>
      </w:divBdr>
    </w:div>
    <w:div w:id="598488224">
      <w:bodyDiv w:val="1"/>
      <w:marLeft w:val="0"/>
      <w:marRight w:val="0"/>
      <w:marTop w:val="0"/>
      <w:marBottom w:val="0"/>
      <w:divBdr>
        <w:top w:val="none" w:sz="0" w:space="0" w:color="auto"/>
        <w:left w:val="none" w:sz="0" w:space="0" w:color="auto"/>
        <w:bottom w:val="none" w:sz="0" w:space="0" w:color="auto"/>
        <w:right w:val="none" w:sz="0" w:space="0" w:color="auto"/>
      </w:divBdr>
    </w:div>
    <w:div w:id="606426181">
      <w:bodyDiv w:val="1"/>
      <w:marLeft w:val="0"/>
      <w:marRight w:val="0"/>
      <w:marTop w:val="0"/>
      <w:marBottom w:val="0"/>
      <w:divBdr>
        <w:top w:val="none" w:sz="0" w:space="0" w:color="auto"/>
        <w:left w:val="none" w:sz="0" w:space="0" w:color="auto"/>
        <w:bottom w:val="none" w:sz="0" w:space="0" w:color="auto"/>
        <w:right w:val="none" w:sz="0" w:space="0" w:color="auto"/>
      </w:divBdr>
    </w:div>
    <w:div w:id="607590136">
      <w:bodyDiv w:val="1"/>
      <w:marLeft w:val="0"/>
      <w:marRight w:val="0"/>
      <w:marTop w:val="0"/>
      <w:marBottom w:val="0"/>
      <w:divBdr>
        <w:top w:val="none" w:sz="0" w:space="0" w:color="auto"/>
        <w:left w:val="none" w:sz="0" w:space="0" w:color="auto"/>
        <w:bottom w:val="none" w:sz="0" w:space="0" w:color="auto"/>
        <w:right w:val="none" w:sz="0" w:space="0" w:color="auto"/>
      </w:divBdr>
    </w:div>
    <w:div w:id="708647120">
      <w:bodyDiv w:val="1"/>
      <w:marLeft w:val="0"/>
      <w:marRight w:val="0"/>
      <w:marTop w:val="0"/>
      <w:marBottom w:val="0"/>
      <w:divBdr>
        <w:top w:val="none" w:sz="0" w:space="0" w:color="auto"/>
        <w:left w:val="none" w:sz="0" w:space="0" w:color="auto"/>
        <w:bottom w:val="none" w:sz="0" w:space="0" w:color="auto"/>
        <w:right w:val="none" w:sz="0" w:space="0" w:color="auto"/>
      </w:divBdr>
    </w:div>
    <w:div w:id="757334972">
      <w:bodyDiv w:val="1"/>
      <w:marLeft w:val="0"/>
      <w:marRight w:val="0"/>
      <w:marTop w:val="0"/>
      <w:marBottom w:val="0"/>
      <w:divBdr>
        <w:top w:val="none" w:sz="0" w:space="0" w:color="auto"/>
        <w:left w:val="none" w:sz="0" w:space="0" w:color="auto"/>
        <w:bottom w:val="none" w:sz="0" w:space="0" w:color="auto"/>
        <w:right w:val="none" w:sz="0" w:space="0" w:color="auto"/>
      </w:divBdr>
    </w:div>
    <w:div w:id="765152252">
      <w:bodyDiv w:val="1"/>
      <w:marLeft w:val="0"/>
      <w:marRight w:val="0"/>
      <w:marTop w:val="0"/>
      <w:marBottom w:val="0"/>
      <w:divBdr>
        <w:top w:val="none" w:sz="0" w:space="0" w:color="auto"/>
        <w:left w:val="none" w:sz="0" w:space="0" w:color="auto"/>
        <w:bottom w:val="none" w:sz="0" w:space="0" w:color="auto"/>
        <w:right w:val="none" w:sz="0" w:space="0" w:color="auto"/>
      </w:divBdr>
    </w:div>
    <w:div w:id="810752739">
      <w:bodyDiv w:val="1"/>
      <w:marLeft w:val="0"/>
      <w:marRight w:val="0"/>
      <w:marTop w:val="0"/>
      <w:marBottom w:val="0"/>
      <w:divBdr>
        <w:top w:val="none" w:sz="0" w:space="0" w:color="auto"/>
        <w:left w:val="none" w:sz="0" w:space="0" w:color="auto"/>
        <w:bottom w:val="none" w:sz="0" w:space="0" w:color="auto"/>
        <w:right w:val="none" w:sz="0" w:space="0" w:color="auto"/>
      </w:divBdr>
    </w:div>
    <w:div w:id="813184082">
      <w:bodyDiv w:val="1"/>
      <w:marLeft w:val="0"/>
      <w:marRight w:val="0"/>
      <w:marTop w:val="0"/>
      <w:marBottom w:val="0"/>
      <w:divBdr>
        <w:top w:val="none" w:sz="0" w:space="0" w:color="auto"/>
        <w:left w:val="none" w:sz="0" w:space="0" w:color="auto"/>
        <w:bottom w:val="none" w:sz="0" w:space="0" w:color="auto"/>
        <w:right w:val="none" w:sz="0" w:space="0" w:color="auto"/>
      </w:divBdr>
    </w:div>
    <w:div w:id="835345114">
      <w:bodyDiv w:val="1"/>
      <w:marLeft w:val="0"/>
      <w:marRight w:val="0"/>
      <w:marTop w:val="0"/>
      <w:marBottom w:val="0"/>
      <w:divBdr>
        <w:top w:val="none" w:sz="0" w:space="0" w:color="auto"/>
        <w:left w:val="none" w:sz="0" w:space="0" w:color="auto"/>
        <w:bottom w:val="none" w:sz="0" w:space="0" w:color="auto"/>
        <w:right w:val="none" w:sz="0" w:space="0" w:color="auto"/>
      </w:divBdr>
      <w:divsChild>
        <w:div w:id="1895653264">
          <w:marLeft w:val="0"/>
          <w:marRight w:val="0"/>
          <w:marTop w:val="0"/>
          <w:marBottom w:val="0"/>
          <w:divBdr>
            <w:top w:val="none" w:sz="0" w:space="0" w:color="auto"/>
            <w:left w:val="none" w:sz="0" w:space="0" w:color="auto"/>
            <w:bottom w:val="none" w:sz="0" w:space="0" w:color="auto"/>
            <w:right w:val="none" w:sz="0" w:space="0" w:color="auto"/>
          </w:divBdr>
          <w:divsChild>
            <w:div w:id="153031190">
              <w:marLeft w:val="0"/>
              <w:marRight w:val="0"/>
              <w:marTop w:val="0"/>
              <w:marBottom w:val="0"/>
              <w:divBdr>
                <w:top w:val="none" w:sz="0" w:space="0" w:color="auto"/>
                <w:left w:val="none" w:sz="0" w:space="0" w:color="auto"/>
                <w:bottom w:val="none" w:sz="0" w:space="0" w:color="auto"/>
                <w:right w:val="none" w:sz="0" w:space="0" w:color="auto"/>
              </w:divBdr>
              <w:divsChild>
                <w:div w:id="491139667">
                  <w:marLeft w:val="0"/>
                  <w:marRight w:val="0"/>
                  <w:marTop w:val="0"/>
                  <w:marBottom w:val="0"/>
                  <w:divBdr>
                    <w:top w:val="single" w:sz="6" w:space="0" w:color="EEEEEE"/>
                    <w:left w:val="single" w:sz="6" w:space="0" w:color="EEEEEE"/>
                    <w:bottom w:val="single" w:sz="6" w:space="0" w:color="EEEEEE"/>
                    <w:right w:val="single" w:sz="6" w:space="0" w:color="EEEEEE"/>
                  </w:divBdr>
                  <w:divsChild>
                    <w:div w:id="1843162908">
                      <w:marLeft w:val="0"/>
                      <w:marRight w:val="0"/>
                      <w:marTop w:val="0"/>
                      <w:marBottom w:val="0"/>
                      <w:divBdr>
                        <w:top w:val="none" w:sz="0" w:space="0" w:color="auto"/>
                        <w:left w:val="none" w:sz="0" w:space="0" w:color="auto"/>
                        <w:bottom w:val="none" w:sz="0" w:space="0" w:color="auto"/>
                        <w:right w:val="none" w:sz="0" w:space="0" w:color="auto"/>
                      </w:divBdr>
                    </w:div>
                  </w:divsChild>
                </w:div>
                <w:div w:id="559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3617">
      <w:bodyDiv w:val="1"/>
      <w:marLeft w:val="0"/>
      <w:marRight w:val="0"/>
      <w:marTop w:val="0"/>
      <w:marBottom w:val="0"/>
      <w:divBdr>
        <w:top w:val="none" w:sz="0" w:space="0" w:color="auto"/>
        <w:left w:val="none" w:sz="0" w:space="0" w:color="auto"/>
        <w:bottom w:val="none" w:sz="0" w:space="0" w:color="auto"/>
        <w:right w:val="none" w:sz="0" w:space="0" w:color="auto"/>
      </w:divBdr>
    </w:div>
    <w:div w:id="861672290">
      <w:bodyDiv w:val="1"/>
      <w:marLeft w:val="0"/>
      <w:marRight w:val="0"/>
      <w:marTop w:val="0"/>
      <w:marBottom w:val="0"/>
      <w:divBdr>
        <w:top w:val="none" w:sz="0" w:space="0" w:color="auto"/>
        <w:left w:val="none" w:sz="0" w:space="0" w:color="auto"/>
        <w:bottom w:val="none" w:sz="0" w:space="0" w:color="auto"/>
        <w:right w:val="none" w:sz="0" w:space="0" w:color="auto"/>
      </w:divBdr>
      <w:divsChild>
        <w:div w:id="792821673">
          <w:marLeft w:val="0"/>
          <w:marRight w:val="0"/>
          <w:marTop w:val="0"/>
          <w:marBottom w:val="0"/>
          <w:divBdr>
            <w:top w:val="none" w:sz="0" w:space="0" w:color="auto"/>
            <w:left w:val="none" w:sz="0" w:space="0" w:color="auto"/>
            <w:bottom w:val="none" w:sz="0" w:space="0" w:color="auto"/>
            <w:right w:val="none" w:sz="0" w:space="0" w:color="auto"/>
          </w:divBdr>
          <w:divsChild>
            <w:div w:id="6565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767">
      <w:bodyDiv w:val="1"/>
      <w:marLeft w:val="0"/>
      <w:marRight w:val="0"/>
      <w:marTop w:val="0"/>
      <w:marBottom w:val="0"/>
      <w:divBdr>
        <w:top w:val="none" w:sz="0" w:space="0" w:color="auto"/>
        <w:left w:val="none" w:sz="0" w:space="0" w:color="auto"/>
        <w:bottom w:val="none" w:sz="0" w:space="0" w:color="auto"/>
        <w:right w:val="none" w:sz="0" w:space="0" w:color="auto"/>
      </w:divBdr>
    </w:div>
    <w:div w:id="887185863">
      <w:bodyDiv w:val="1"/>
      <w:marLeft w:val="0"/>
      <w:marRight w:val="0"/>
      <w:marTop w:val="0"/>
      <w:marBottom w:val="0"/>
      <w:divBdr>
        <w:top w:val="none" w:sz="0" w:space="0" w:color="auto"/>
        <w:left w:val="none" w:sz="0" w:space="0" w:color="auto"/>
        <w:bottom w:val="none" w:sz="0" w:space="0" w:color="auto"/>
        <w:right w:val="none" w:sz="0" w:space="0" w:color="auto"/>
      </w:divBdr>
    </w:div>
    <w:div w:id="902376436">
      <w:bodyDiv w:val="1"/>
      <w:marLeft w:val="0"/>
      <w:marRight w:val="0"/>
      <w:marTop w:val="0"/>
      <w:marBottom w:val="0"/>
      <w:divBdr>
        <w:top w:val="none" w:sz="0" w:space="0" w:color="auto"/>
        <w:left w:val="none" w:sz="0" w:space="0" w:color="auto"/>
        <w:bottom w:val="none" w:sz="0" w:space="0" w:color="auto"/>
        <w:right w:val="none" w:sz="0" w:space="0" w:color="auto"/>
      </w:divBdr>
      <w:divsChild>
        <w:div w:id="223568304">
          <w:marLeft w:val="0"/>
          <w:marRight w:val="0"/>
          <w:marTop w:val="0"/>
          <w:marBottom w:val="0"/>
          <w:divBdr>
            <w:top w:val="none" w:sz="0" w:space="0" w:color="auto"/>
            <w:left w:val="none" w:sz="0" w:space="0" w:color="auto"/>
            <w:bottom w:val="none" w:sz="0" w:space="0" w:color="auto"/>
            <w:right w:val="none" w:sz="0" w:space="0" w:color="auto"/>
          </w:divBdr>
        </w:div>
      </w:divsChild>
    </w:div>
    <w:div w:id="918367830">
      <w:bodyDiv w:val="1"/>
      <w:marLeft w:val="0"/>
      <w:marRight w:val="0"/>
      <w:marTop w:val="0"/>
      <w:marBottom w:val="0"/>
      <w:divBdr>
        <w:top w:val="none" w:sz="0" w:space="0" w:color="auto"/>
        <w:left w:val="none" w:sz="0" w:space="0" w:color="auto"/>
        <w:bottom w:val="none" w:sz="0" w:space="0" w:color="auto"/>
        <w:right w:val="none" w:sz="0" w:space="0" w:color="auto"/>
      </w:divBdr>
    </w:div>
    <w:div w:id="924730423">
      <w:bodyDiv w:val="1"/>
      <w:marLeft w:val="0"/>
      <w:marRight w:val="0"/>
      <w:marTop w:val="0"/>
      <w:marBottom w:val="0"/>
      <w:divBdr>
        <w:top w:val="none" w:sz="0" w:space="0" w:color="auto"/>
        <w:left w:val="none" w:sz="0" w:space="0" w:color="auto"/>
        <w:bottom w:val="none" w:sz="0" w:space="0" w:color="auto"/>
        <w:right w:val="none" w:sz="0" w:space="0" w:color="auto"/>
      </w:divBdr>
    </w:div>
    <w:div w:id="925765175">
      <w:bodyDiv w:val="1"/>
      <w:marLeft w:val="0"/>
      <w:marRight w:val="0"/>
      <w:marTop w:val="0"/>
      <w:marBottom w:val="0"/>
      <w:divBdr>
        <w:top w:val="none" w:sz="0" w:space="0" w:color="auto"/>
        <w:left w:val="none" w:sz="0" w:space="0" w:color="auto"/>
        <w:bottom w:val="none" w:sz="0" w:space="0" w:color="auto"/>
        <w:right w:val="none" w:sz="0" w:space="0" w:color="auto"/>
      </w:divBdr>
    </w:div>
    <w:div w:id="926227821">
      <w:bodyDiv w:val="1"/>
      <w:marLeft w:val="0"/>
      <w:marRight w:val="0"/>
      <w:marTop w:val="0"/>
      <w:marBottom w:val="0"/>
      <w:divBdr>
        <w:top w:val="none" w:sz="0" w:space="0" w:color="auto"/>
        <w:left w:val="none" w:sz="0" w:space="0" w:color="auto"/>
        <w:bottom w:val="none" w:sz="0" w:space="0" w:color="auto"/>
        <w:right w:val="none" w:sz="0" w:space="0" w:color="auto"/>
      </w:divBdr>
      <w:divsChild>
        <w:div w:id="1106928608">
          <w:marLeft w:val="0"/>
          <w:marRight w:val="0"/>
          <w:marTop w:val="0"/>
          <w:marBottom w:val="0"/>
          <w:divBdr>
            <w:top w:val="none" w:sz="0" w:space="0" w:color="auto"/>
            <w:left w:val="none" w:sz="0" w:space="0" w:color="auto"/>
            <w:bottom w:val="none" w:sz="0" w:space="0" w:color="auto"/>
            <w:right w:val="none" w:sz="0" w:space="0" w:color="auto"/>
          </w:divBdr>
        </w:div>
        <w:div w:id="981345724">
          <w:marLeft w:val="0"/>
          <w:marRight w:val="0"/>
          <w:marTop w:val="0"/>
          <w:marBottom w:val="0"/>
          <w:divBdr>
            <w:top w:val="none" w:sz="0" w:space="0" w:color="auto"/>
            <w:left w:val="none" w:sz="0" w:space="0" w:color="auto"/>
            <w:bottom w:val="none" w:sz="0" w:space="0" w:color="auto"/>
            <w:right w:val="none" w:sz="0" w:space="0" w:color="auto"/>
          </w:divBdr>
          <w:divsChild>
            <w:div w:id="624578651">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 w:id="941035097">
      <w:bodyDiv w:val="1"/>
      <w:marLeft w:val="0"/>
      <w:marRight w:val="0"/>
      <w:marTop w:val="0"/>
      <w:marBottom w:val="0"/>
      <w:divBdr>
        <w:top w:val="none" w:sz="0" w:space="0" w:color="auto"/>
        <w:left w:val="none" w:sz="0" w:space="0" w:color="auto"/>
        <w:bottom w:val="none" w:sz="0" w:space="0" w:color="auto"/>
        <w:right w:val="none" w:sz="0" w:space="0" w:color="auto"/>
      </w:divBdr>
    </w:div>
    <w:div w:id="954336251">
      <w:bodyDiv w:val="1"/>
      <w:marLeft w:val="0"/>
      <w:marRight w:val="0"/>
      <w:marTop w:val="0"/>
      <w:marBottom w:val="0"/>
      <w:divBdr>
        <w:top w:val="none" w:sz="0" w:space="0" w:color="auto"/>
        <w:left w:val="none" w:sz="0" w:space="0" w:color="auto"/>
        <w:bottom w:val="none" w:sz="0" w:space="0" w:color="auto"/>
        <w:right w:val="none" w:sz="0" w:space="0" w:color="auto"/>
      </w:divBdr>
    </w:div>
    <w:div w:id="959145673">
      <w:bodyDiv w:val="1"/>
      <w:marLeft w:val="0"/>
      <w:marRight w:val="0"/>
      <w:marTop w:val="0"/>
      <w:marBottom w:val="0"/>
      <w:divBdr>
        <w:top w:val="none" w:sz="0" w:space="0" w:color="auto"/>
        <w:left w:val="none" w:sz="0" w:space="0" w:color="auto"/>
        <w:bottom w:val="none" w:sz="0" w:space="0" w:color="auto"/>
        <w:right w:val="none" w:sz="0" w:space="0" w:color="auto"/>
      </w:divBdr>
    </w:div>
    <w:div w:id="984703353">
      <w:bodyDiv w:val="1"/>
      <w:marLeft w:val="0"/>
      <w:marRight w:val="0"/>
      <w:marTop w:val="0"/>
      <w:marBottom w:val="0"/>
      <w:divBdr>
        <w:top w:val="none" w:sz="0" w:space="0" w:color="auto"/>
        <w:left w:val="none" w:sz="0" w:space="0" w:color="auto"/>
        <w:bottom w:val="none" w:sz="0" w:space="0" w:color="auto"/>
        <w:right w:val="none" w:sz="0" w:space="0" w:color="auto"/>
      </w:divBdr>
    </w:div>
    <w:div w:id="1013921156">
      <w:bodyDiv w:val="1"/>
      <w:marLeft w:val="0"/>
      <w:marRight w:val="0"/>
      <w:marTop w:val="0"/>
      <w:marBottom w:val="0"/>
      <w:divBdr>
        <w:top w:val="none" w:sz="0" w:space="0" w:color="auto"/>
        <w:left w:val="none" w:sz="0" w:space="0" w:color="auto"/>
        <w:bottom w:val="none" w:sz="0" w:space="0" w:color="auto"/>
        <w:right w:val="none" w:sz="0" w:space="0" w:color="auto"/>
      </w:divBdr>
    </w:div>
    <w:div w:id="1101949415">
      <w:bodyDiv w:val="1"/>
      <w:marLeft w:val="0"/>
      <w:marRight w:val="0"/>
      <w:marTop w:val="0"/>
      <w:marBottom w:val="0"/>
      <w:divBdr>
        <w:top w:val="none" w:sz="0" w:space="0" w:color="auto"/>
        <w:left w:val="none" w:sz="0" w:space="0" w:color="auto"/>
        <w:bottom w:val="none" w:sz="0" w:space="0" w:color="auto"/>
        <w:right w:val="none" w:sz="0" w:space="0" w:color="auto"/>
      </w:divBdr>
    </w:div>
    <w:div w:id="1115445411">
      <w:bodyDiv w:val="1"/>
      <w:marLeft w:val="0"/>
      <w:marRight w:val="0"/>
      <w:marTop w:val="0"/>
      <w:marBottom w:val="0"/>
      <w:divBdr>
        <w:top w:val="none" w:sz="0" w:space="0" w:color="auto"/>
        <w:left w:val="none" w:sz="0" w:space="0" w:color="auto"/>
        <w:bottom w:val="none" w:sz="0" w:space="0" w:color="auto"/>
        <w:right w:val="none" w:sz="0" w:space="0" w:color="auto"/>
      </w:divBdr>
    </w:div>
    <w:div w:id="1116020424">
      <w:bodyDiv w:val="1"/>
      <w:marLeft w:val="0"/>
      <w:marRight w:val="0"/>
      <w:marTop w:val="0"/>
      <w:marBottom w:val="0"/>
      <w:divBdr>
        <w:top w:val="none" w:sz="0" w:space="0" w:color="auto"/>
        <w:left w:val="none" w:sz="0" w:space="0" w:color="auto"/>
        <w:bottom w:val="none" w:sz="0" w:space="0" w:color="auto"/>
        <w:right w:val="none" w:sz="0" w:space="0" w:color="auto"/>
      </w:divBdr>
      <w:divsChild>
        <w:div w:id="352071761">
          <w:marLeft w:val="0"/>
          <w:marRight w:val="0"/>
          <w:marTop w:val="0"/>
          <w:marBottom w:val="0"/>
          <w:divBdr>
            <w:top w:val="none" w:sz="0" w:space="0" w:color="auto"/>
            <w:left w:val="none" w:sz="0" w:space="0" w:color="auto"/>
            <w:bottom w:val="none" w:sz="0" w:space="0" w:color="auto"/>
            <w:right w:val="none" w:sz="0" w:space="0" w:color="auto"/>
          </w:divBdr>
        </w:div>
        <w:div w:id="884100250">
          <w:marLeft w:val="0"/>
          <w:marRight w:val="0"/>
          <w:marTop w:val="0"/>
          <w:marBottom w:val="0"/>
          <w:divBdr>
            <w:top w:val="none" w:sz="0" w:space="0" w:color="auto"/>
            <w:left w:val="none" w:sz="0" w:space="0" w:color="auto"/>
            <w:bottom w:val="none" w:sz="0" w:space="0" w:color="auto"/>
            <w:right w:val="none" w:sz="0" w:space="0" w:color="auto"/>
          </w:divBdr>
        </w:div>
        <w:div w:id="926691715">
          <w:marLeft w:val="0"/>
          <w:marRight w:val="0"/>
          <w:marTop w:val="0"/>
          <w:marBottom w:val="0"/>
          <w:divBdr>
            <w:top w:val="none" w:sz="0" w:space="0" w:color="auto"/>
            <w:left w:val="none" w:sz="0" w:space="0" w:color="auto"/>
            <w:bottom w:val="none" w:sz="0" w:space="0" w:color="auto"/>
            <w:right w:val="none" w:sz="0" w:space="0" w:color="auto"/>
          </w:divBdr>
        </w:div>
        <w:div w:id="1969238378">
          <w:marLeft w:val="0"/>
          <w:marRight w:val="0"/>
          <w:marTop w:val="0"/>
          <w:marBottom w:val="0"/>
          <w:divBdr>
            <w:top w:val="none" w:sz="0" w:space="0" w:color="auto"/>
            <w:left w:val="none" w:sz="0" w:space="0" w:color="auto"/>
            <w:bottom w:val="none" w:sz="0" w:space="0" w:color="auto"/>
            <w:right w:val="none" w:sz="0" w:space="0" w:color="auto"/>
          </w:divBdr>
        </w:div>
      </w:divsChild>
    </w:div>
    <w:div w:id="1121651592">
      <w:bodyDiv w:val="1"/>
      <w:marLeft w:val="0"/>
      <w:marRight w:val="0"/>
      <w:marTop w:val="0"/>
      <w:marBottom w:val="0"/>
      <w:divBdr>
        <w:top w:val="none" w:sz="0" w:space="0" w:color="auto"/>
        <w:left w:val="none" w:sz="0" w:space="0" w:color="auto"/>
        <w:bottom w:val="none" w:sz="0" w:space="0" w:color="auto"/>
        <w:right w:val="none" w:sz="0" w:space="0" w:color="auto"/>
      </w:divBdr>
    </w:div>
    <w:div w:id="1122266066">
      <w:bodyDiv w:val="1"/>
      <w:marLeft w:val="0"/>
      <w:marRight w:val="0"/>
      <w:marTop w:val="0"/>
      <w:marBottom w:val="0"/>
      <w:divBdr>
        <w:top w:val="none" w:sz="0" w:space="0" w:color="auto"/>
        <w:left w:val="none" w:sz="0" w:space="0" w:color="auto"/>
        <w:bottom w:val="none" w:sz="0" w:space="0" w:color="auto"/>
        <w:right w:val="none" w:sz="0" w:space="0" w:color="auto"/>
      </w:divBdr>
    </w:div>
    <w:div w:id="1169371654">
      <w:bodyDiv w:val="1"/>
      <w:marLeft w:val="0"/>
      <w:marRight w:val="0"/>
      <w:marTop w:val="0"/>
      <w:marBottom w:val="0"/>
      <w:divBdr>
        <w:top w:val="none" w:sz="0" w:space="0" w:color="auto"/>
        <w:left w:val="none" w:sz="0" w:space="0" w:color="auto"/>
        <w:bottom w:val="none" w:sz="0" w:space="0" w:color="auto"/>
        <w:right w:val="none" w:sz="0" w:space="0" w:color="auto"/>
      </w:divBdr>
    </w:div>
    <w:div w:id="1188638133">
      <w:bodyDiv w:val="1"/>
      <w:marLeft w:val="0"/>
      <w:marRight w:val="0"/>
      <w:marTop w:val="0"/>
      <w:marBottom w:val="0"/>
      <w:divBdr>
        <w:top w:val="none" w:sz="0" w:space="0" w:color="auto"/>
        <w:left w:val="none" w:sz="0" w:space="0" w:color="auto"/>
        <w:bottom w:val="none" w:sz="0" w:space="0" w:color="auto"/>
        <w:right w:val="none" w:sz="0" w:space="0" w:color="auto"/>
      </w:divBdr>
    </w:div>
    <w:div w:id="1215921862">
      <w:bodyDiv w:val="1"/>
      <w:marLeft w:val="0"/>
      <w:marRight w:val="0"/>
      <w:marTop w:val="0"/>
      <w:marBottom w:val="0"/>
      <w:divBdr>
        <w:top w:val="none" w:sz="0" w:space="0" w:color="auto"/>
        <w:left w:val="none" w:sz="0" w:space="0" w:color="auto"/>
        <w:bottom w:val="none" w:sz="0" w:space="0" w:color="auto"/>
        <w:right w:val="none" w:sz="0" w:space="0" w:color="auto"/>
      </w:divBdr>
    </w:div>
    <w:div w:id="1223178859">
      <w:bodyDiv w:val="1"/>
      <w:marLeft w:val="0"/>
      <w:marRight w:val="0"/>
      <w:marTop w:val="0"/>
      <w:marBottom w:val="0"/>
      <w:divBdr>
        <w:top w:val="none" w:sz="0" w:space="0" w:color="auto"/>
        <w:left w:val="none" w:sz="0" w:space="0" w:color="auto"/>
        <w:bottom w:val="none" w:sz="0" w:space="0" w:color="auto"/>
        <w:right w:val="none" w:sz="0" w:space="0" w:color="auto"/>
      </w:divBdr>
    </w:div>
    <w:div w:id="1233463692">
      <w:bodyDiv w:val="1"/>
      <w:marLeft w:val="0"/>
      <w:marRight w:val="0"/>
      <w:marTop w:val="0"/>
      <w:marBottom w:val="0"/>
      <w:divBdr>
        <w:top w:val="none" w:sz="0" w:space="0" w:color="auto"/>
        <w:left w:val="none" w:sz="0" w:space="0" w:color="auto"/>
        <w:bottom w:val="none" w:sz="0" w:space="0" w:color="auto"/>
        <w:right w:val="none" w:sz="0" w:space="0" w:color="auto"/>
      </w:divBdr>
    </w:div>
    <w:div w:id="1244800916">
      <w:bodyDiv w:val="1"/>
      <w:marLeft w:val="0"/>
      <w:marRight w:val="0"/>
      <w:marTop w:val="0"/>
      <w:marBottom w:val="0"/>
      <w:divBdr>
        <w:top w:val="none" w:sz="0" w:space="0" w:color="auto"/>
        <w:left w:val="none" w:sz="0" w:space="0" w:color="auto"/>
        <w:bottom w:val="none" w:sz="0" w:space="0" w:color="auto"/>
        <w:right w:val="none" w:sz="0" w:space="0" w:color="auto"/>
      </w:divBdr>
      <w:divsChild>
        <w:div w:id="809664020">
          <w:marLeft w:val="0"/>
          <w:marRight w:val="225"/>
          <w:marTop w:val="0"/>
          <w:marBottom w:val="0"/>
          <w:divBdr>
            <w:top w:val="single" w:sz="6" w:space="0" w:color="EEEEEE"/>
            <w:left w:val="single" w:sz="6" w:space="0" w:color="EEEEEE"/>
            <w:bottom w:val="single" w:sz="6" w:space="0" w:color="EEEEEE"/>
            <w:right w:val="single" w:sz="6" w:space="0" w:color="EEEEEE"/>
          </w:divBdr>
          <w:divsChild>
            <w:div w:id="105853366">
              <w:marLeft w:val="0"/>
              <w:marRight w:val="0"/>
              <w:marTop w:val="0"/>
              <w:marBottom w:val="0"/>
              <w:divBdr>
                <w:top w:val="none" w:sz="0" w:space="0" w:color="auto"/>
                <w:left w:val="none" w:sz="0" w:space="0" w:color="auto"/>
                <w:bottom w:val="none" w:sz="0" w:space="0" w:color="auto"/>
                <w:right w:val="none" w:sz="0" w:space="0" w:color="auto"/>
              </w:divBdr>
            </w:div>
          </w:divsChild>
        </w:div>
        <w:div w:id="1714495749">
          <w:marLeft w:val="0"/>
          <w:marRight w:val="0"/>
          <w:marTop w:val="0"/>
          <w:marBottom w:val="0"/>
          <w:divBdr>
            <w:top w:val="none" w:sz="0" w:space="0" w:color="auto"/>
            <w:left w:val="none" w:sz="0" w:space="0" w:color="auto"/>
            <w:bottom w:val="none" w:sz="0" w:space="0" w:color="auto"/>
            <w:right w:val="none" w:sz="0" w:space="0" w:color="auto"/>
          </w:divBdr>
        </w:div>
      </w:divsChild>
    </w:div>
    <w:div w:id="1245143739">
      <w:bodyDiv w:val="1"/>
      <w:marLeft w:val="0"/>
      <w:marRight w:val="0"/>
      <w:marTop w:val="0"/>
      <w:marBottom w:val="0"/>
      <w:divBdr>
        <w:top w:val="none" w:sz="0" w:space="0" w:color="auto"/>
        <w:left w:val="none" w:sz="0" w:space="0" w:color="auto"/>
        <w:bottom w:val="none" w:sz="0" w:space="0" w:color="auto"/>
        <w:right w:val="none" w:sz="0" w:space="0" w:color="auto"/>
      </w:divBdr>
    </w:div>
    <w:div w:id="1248685684">
      <w:bodyDiv w:val="1"/>
      <w:marLeft w:val="0"/>
      <w:marRight w:val="0"/>
      <w:marTop w:val="0"/>
      <w:marBottom w:val="0"/>
      <w:divBdr>
        <w:top w:val="none" w:sz="0" w:space="0" w:color="auto"/>
        <w:left w:val="none" w:sz="0" w:space="0" w:color="auto"/>
        <w:bottom w:val="none" w:sz="0" w:space="0" w:color="auto"/>
        <w:right w:val="none" w:sz="0" w:space="0" w:color="auto"/>
      </w:divBdr>
      <w:divsChild>
        <w:div w:id="69498597">
          <w:marLeft w:val="0"/>
          <w:marRight w:val="0"/>
          <w:marTop w:val="0"/>
          <w:marBottom w:val="0"/>
          <w:divBdr>
            <w:top w:val="none" w:sz="0" w:space="0" w:color="auto"/>
            <w:left w:val="none" w:sz="0" w:space="0" w:color="auto"/>
            <w:bottom w:val="none" w:sz="0" w:space="0" w:color="auto"/>
            <w:right w:val="none" w:sz="0" w:space="0" w:color="auto"/>
          </w:divBdr>
          <w:divsChild>
            <w:div w:id="1872914312">
              <w:marLeft w:val="0"/>
              <w:marRight w:val="0"/>
              <w:marTop w:val="0"/>
              <w:marBottom w:val="0"/>
              <w:divBdr>
                <w:top w:val="none" w:sz="0" w:space="0" w:color="auto"/>
                <w:left w:val="none" w:sz="0" w:space="0" w:color="auto"/>
                <w:bottom w:val="none" w:sz="0" w:space="0" w:color="auto"/>
                <w:right w:val="none" w:sz="0" w:space="0" w:color="auto"/>
              </w:divBdr>
              <w:divsChild>
                <w:div w:id="233129515">
                  <w:marLeft w:val="0"/>
                  <w:marRight w:val="0"/>
                  <w:marTop w:val="0"/>
                  <w:marBottom w:val="0"/>
                  <w:divBdr>
                    <w:top w:val="none" w:sz="0" w:space="0" w:color="auto"/>
                    <w:left w:val="none" w:sz="0" w:space="0" w:color="auto"/>
                    <w:bottom w:val="none" w:sz="0" w:space="0" w:color="auto"/>
                    <w:right w:val="none" w:sz="0" w:space="0" w:color="auto"/>
                  </w:divBdr>
                  <w:divsChild>
                    <w:div w:id="564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60340">
          <w:marLeft w:val="0"/>
          <w:marRight w:val="0"/>
          <w:marTop w:val="0"/>
          <w:marBottom w:val="0"/>
          <w:divBdr>
            <w:top w:val="none" w:sz="0" w:space="0" w:color="auto"/>
            <w:left w:val="none" w:sz="0" w:space="0" w:color="auto"/>
            <w:bottom w:val="none" w:sz="0" w:space="0" w:color="auto"/>
            <w:right w:val="none" w:sz="0" w:space="0" w:color="auto"/>
          </w:divBdr>
          <w:divsChild>
            <w:div w:id="769812326">
              <w:marLeft w:val="0"/>
              <w:marRight w:val="0"/>
              <w:marTop w:val="0"/>
              <w:marBottom w:val="0"/>
              <w:divBdr>
                <w:top w:val="none" w:sz="0" w:space="0" w:color="auto"/>
                <w:left w:val="none" w:sz="0" w:space="0" w:color="auto"/>
                <w:bottom w:val="none" w:sz="0" w:space="0" w:color="auto"/>
                <w:right w:val="none" w:sz="0" w:space="0" w:color="auto"/>
              </w:divBdr>
              <w:divsChild>
                <w:div w:id="241186750">
                  <w:marLeft w:val="0"/>
                  <w:marRight w:val="0"/>
                  <w:marTop w:val="0"/>
                  <w:marBottom w:val="0"/>
                  <w:divBdr>
                    <w:top w:val="none" w:sz="0" w:space="0" w:color="auto"/>
                    <w:left w:val="none" w:sz="0" w:space="0" w:color="auto"/>
                    <w:bottom w:val="none" w:sz="0" w:space="0" w:color="auto"/>
                    <w:right w:val="none" w:sz="0" w:space="0" w:color="auto"/>
                  </w:divBdr>
                  <w:divsChild>
                    <w:div w:id="801456683">
                      <w:marLeft w:val="0"/>
                      <w:marRight w:val="0"/>
                      <w:marTop w:val="0"/>
                      <w:marBottom w:val="0"/>
                      <w:divBdr>
                        <w:top w:val="none" w:sz="0" w:space="0" w:color="auto"/>
                        <w:left w:val="none" w:sz="0" w:space="0" w:color="auto"/>
                        <w:bottom w:val="none" w:sz="0" w:space="0" w:color="auto"/>
                        <w:right w:val="none" w:sz="0" w:space="0" w:color="auto"/>
                      </w:divBdr>
                    </w:div>
                  </w:divsChild>
                </w:div>
                <w:div w:id="1493837975">
                  <w:marLeft w:val="0"/>
                  <w:marRight w:val="0"/>
                  <w:marTop w:val="0"/>
                  <w:marBottom w:val="0"/>
                  <w:divBdr>
                    <w:top w:val="none" w:sz="0" w:space="0" w:color="auto"/>
                    <w:left w:val="none" w:sz="0" w:space="0" w:color="auto"/>
                    <w:bottom w:val="none" w:sz="0" w:space="0" w:color="auto"/>
                    <w:right w:val="none" w:sz="0" w:space="0" w:color="auto"/>
                  </w:divBdr>
                  <w:divsChild>
                    <w:div w:id="2295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202">
              <w:marLeft w:val="0"/>
              <w:marRight w:val="0"/>
              <w:marTop w:val="0"/>
              <w:marBottom w:val="0"/>
              <w:divBdr>
                <w:top w:val="none" w:sz="0" w:space="0" w:color="auto"/>
                <w:left w:val="none" w:sz="0" w:space="0" w:color="auto"/>
                <w:bottom w:val="none" w:sz="0" w:space="0" w:color="auto"/>
                <w:right w:val="none" w:sz="0" w:space="0" w:color="auto"/>
              </w:divBdr>
              <w:divsChild>
                <w:div w:id="731273971">
                  <w:marLeft w:val="0"/>
                  <w:marRight w:val="0"/>
                  <w:marTop w:val="0"/>
                  <w:marBottom w:val="0"/>
                  <w:divBdr>
                    <w:top w:val="none" w:sz="0" w:space="0" w:color="auto"/>
                    <w:left w:val="none" w:sz="0" w:space="0" w:color="auto"/>
                    <w:bottom w:val="none" w:sz="0" w:space="0" w:color="auto"/>
                    <w:right w:val="none" w:sz="0" w:space="0" w:color="auto"/>
                  </w:divBdr>
                  <w:divsChild>
                    <w:div w:id="1963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457">
              <w:marLeft w:val="0"/>
              <w:marRight w:val="0"/>
              <w:marTop w:val="0"/>
              <w:marBottom w:val="0"/>
              <w:divBdr>
                <w:top w:val="none" w:sz="0" w:space="0" w:color="auto"/>
                <w:left w:val="none" w:sz="0" w:space="0" w:color="auto"/>
                <w:bottom w:val="none" w:sz="0" w:space="0" w:color="auto"/>
                <w:right w:val="none" w:sz="0" w:space="0" w:color="auto"/>
              </w:divBdr>
              <w:divsChild>
                <w:div w:id="114447320">
                  <w:marLeft w:val="0"/>
                  <w:marRight w:val="0"/>
                  <w:marTop w:val="0"/>
                  <w:marBottom w:val="0"/>
                  <w:divBdr>
                    <w:top w:val="none" w:sz="0" w:space="0" w:color="auto"/>
                    <w:left w:val="none" w:sz="0" w:space="0" w:color="auto"/>
                    <w:bottom w:val="none" w:sz="0" w:space="0" w:color="auto"/>
                    <w:right w:val="none" w:sz="0" w:space="0" w:color="auto"/>
                  </w:divBdr>
                  <w:divsChild>
                    <w:div w:id="544026617">
                      <w:marLeft w:val="0"/>
                      <w:marRight w:val="0"/>
                      <w:marTop w:val="0"/>
                      <w:marBottom w:val="0"/>
                      <w:divBdr>
                        <w:top w:val="none" w:sz="0" w:space="0" w:color="auto"/>
                        <w:left w:val="none" w:sz="0" w:space="0" w:color="auto"/>
                        <w:bottom w:val="none" w:sz="0" w:space="0" w:color="auto"/>
                        <w:right w:val="none" w:sz="0" w:space="0" w:color="auto"/>
                      </w:divBdr>
                    </w:div>
                  </w:divsChild>
                </w:div>
                <w:div w:id="1443571742">
                  <w:marLeft w:val="0"/>
                  <w:marRight w:val="0"/>
                  <w:marTop w:val="0"/>
                  <w:marBottom w:val="0"/>
                  <w:divBdr>
                    <w:top w:val="none" w:sz="0" w:space="0" w:color="auto"/>
                    <w:left w:val="none" w:sz="0" w:space="0" w:color="auto"/>
                    <w:bottom w:val="none" w:sz="0" w:space="0" w:color="auto"/>
                    <w:right w:val="none" w:sz="0" w:space="0" w:color="auto"/>
                  </w:divBdr>
                  <w:divsChild>
                    <w:div w:id="429666920">
                      <w:marLeft w:val="0"/>
                      <w:marRight w:val="0"/>
                      <w:marTop w:val="0"/>
                      <w:marBottom w:val="0"/>
                      <w:divBdr>
                        <w:top w:val="none" w:sz="0" w:space="0" w:color="auto"/>
                        <w:left w:val="none" w:sz="0" w:space="0" w:color="auto"/>
                        <w:bottom w:val="none" w:sz="0" w:space="0" w:color="auto"/>
                        <w:right w:val="none" w:sz="0" w:space="0" w:color="auto"/>
                      </w:divBdr>
                      <w:divsChild>
                        <w:div w:id="219943754">
                          <w:marLeft w:val="0"/>
                          <w:marRight w:val="150"/>
                          <w:marTop w:val="0"/>
                          <w:marBottom w:val="0"/>
                          <w:divBdr>
                            <w:top w:val="none" w:sz="0" w:space="0" w:color="auto"/>
                            <w:left w:val="none" w:sz="0" w:space="0" w:color="auto"/>
                            <w:bottom w:val="none" w:sz="0" w:space="0" w:color="auto"/>
                            <w:right w:val="none" w:sz="0" w:space="0" w:color="auto"/>
                          </w:divBdr>
                        </w:div>
                        <w:div w:id="688608055">
                          <w:marLeft w:val="0"/>
                          <w:marRight w:val="150"/>
                          <w:marTop w:val="0"/>
                          <w:marBottom w:val="0"/>
                          <w:divBdr>
                            <w:top w:val="none" w:sz="0" w:space="0" w:color="auto"/>
                            <w:left w:val="none" w:sz="0" w:space="0" w:color="auto"/>
                            <w:bottom w:val="none" w:sz="0" w:space="0" w:color="auto"/>
                            <w:right w:val="none" w:sz="0" w:space="0" w:color="auto"/>
                          </w:divBdr>
                        </w:div>
                        <w:div w:id="1271547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84411">
      <w:bodyDiv w:val="1"/>
      <w:marLeft w:val="0"/>
      <w:marRight w:val="0"/>
      <w:marTop w:val="0"/>
      <w:marBottom w:val="0"/>
      <w:divBdr>
        <w:top w:val="none" w:sz="0" w:space="0" w:color="auto"/>
        <w:left w:val="none" w:sz="0" w:space="0" w:color="auto"/>
        <w:bottom w:val="none" w:sz="0" w:space="0" w:color="auto"/>
        <w:right w:val="none" w:sz="0" w:space="0" w:color="auto"/>
      </w:divBdr>
    </w:div>
    <w:div w:id="1342974749">
      <w:bodyDiv w:val="1"/>
      <w:marLeft w:val="0"/>
      <w:marRight w:val="0"/>
      <w:marTop w:val="0"/>
      <w:marBottom w:val="0"/>
      <w:divBdr>
        <w:top w:val="none" w:sz="0" w:space="0" w:color="auto"/>
        <w:left w:val="none" w:sz="0" w:space="0" w:color="auto"/>
        <w:bottom w:val="none" w:sz="0" w:space="0" w:color="auto"/>
        <w:right w:val="none" w:sz="0" w:space="0" w:color="auto"/>
      </w:divBdr>
      <w:divsChild>
        <w:div w:id="739402472">
          <w:marLeft w:val="0"/>
          <w:marRight w:val="0"/>
          <w:marTop w:val="75"/>
          <w:marBottom w:val="0"/>
          <w:divBdr>
            <w:top w:val="none" w:sz="0" w:space="0" w:color="auto"/>
            <w:left w:val="none" w:sz="0" w:space="0" w:color="auto"/>
            <w:bottom w:val="none" w:sz="0" w:space="0" w:color="auto"/>
            <w:right w:val="none" w:sz="0" w:space="0" w:color="auto"/>
          </w:divBdr>
        </w:div>
        <w:div w:id="1810393358">
          <w:marLeft w:val="0"/>
          <w:marRight w:val="225"/>
          <w:marTop w:val="0"/>
          <w:marBottom w:val="0"/>
          <w:divBdr>
            <w:top w:val="single" w:sz="6" w:space="0" w:color="EEEEEE"/>
            <w:left w:val="single" w:sz="6" w:space="0" w:color="EEEEEE"/>
            <w:bottom w:val="single" w:sz="6" w:space="0" w:color="EEEEEE"/>
            <w:right w:val="single" w:sz="6" w:space="0" w:color="EEEEEE"/>
          </w:divBdr>
          <w:divsChild>
            <w:div w:id="277293979">
              <w:marLeft w:val="0"/>
              <w:marRight w:val="0"/>
              <w:marTop w:val="0"/>
              <w:marBottom w:val="0"/>
              <w:divBdr>
                <w:top w:val="none" w:sz="0" w:space="0" w:color="auto"/>
                <w:left w:val="none" w:sz="0" w:space="0" w:color="auto"/>
                <w:bottom w:val="none" w:sz="0" w:space="0" w:color="auto"/>
                <w:right w:val="none" w:sz="0" w:space="0" w:color="auto"/>
              </w:divBdr>
            </w:div>
          </w:divsChild>
        </w:div>
        <w:div w:id="1411537168">
          <w:marLeft w:val="0"/>
          <w:marRight w:val="0"/>
          <w:marTop w:val="0"/>
          <w:marBottom w:val="0"/>
          <w:divBdr>
            <w:top w:val="none" w:sz="0" w:space="0" w:color="auto"/>
            <w:left w:val="none" w:sz="0" w:space="0" w:color="auto"/>
            <w:bottom w:val="none" w:sz="0" w:space="0" w:color="auto"/>
            <w:right w:val="none" w:sz="0" w:space="0" w:color="auto"/>
          </w:divBdr>
        </w:div>
      </w:divsChild>
    </w:div>
    <w:div w:id="1351880786">
      <w:bodyDiv w:val="1"/>
      <w:marLeft w:val="0"/>
      <w:marRight w:val="0"/>
      <w:marTop w:val="0"/>
      <w:marBottom w:val="0"/>
      <w:divBdr>
        <w:top w:val="none" w:sz="0" w:space="0" w:color="auto"/>
        <w:left w:val="none" w:sz="0" w:space="0" w:color="auto"/>
        <w:bottom w:val="none" w:sz="0" w:space="0" w:color="auto"/>
        <w:right w:val="none" w:sz="0" w:space="0" w:color="auto"/>
      </w:divBdr>
    </w:div>
    <w:div w:id="1359426499">
      <w:bodyDiv w:val="1"/>
      <w:marLeft w:val="0"/>
      <w:marRight w:val="0"/>
      <w:marTop w:val="0"/>
      <w:marBottom w:val="0"/>
      <w:divBdr>
        <w:top w:val="none" w:sz="0" w:space="0" w:color="auto"/>
        <w:left w:val="none" w:sz="0" w:space="0" w:color="auto"/>
        <w:bottom w:val="none" w:sz="0" w:space="0" w:color="auto"/>
        <w:right w:val="none" w:sz="0" w:space="0" w:color="auto"/>
      </w:divBdr>
    </w:div>
    <w:div w:id="1361973246">
      <w:bodyDiv w:val="1"/>
      <w:marLeft w:val="0"/>
      <w:marRight w:val="0"/>
      <w:marTop w:val="0"/>
      <w:marBottom w:val="0"/>
      <w:divBdr>
        <w:top w:val="none" w:sz="0" w:space="0" w:color="auto"/>
        <w:left w:val="none" w:sz="0" w:space="0" w:color="auto"/>
        <w:bottom w:val="none" w:sz="0" w:space="0" w:color="auto"/>
        <w:right w:val="none" w:sz="0" w:space="0" w:color="auto"/>
      </w:divBdr>
    </w:div>
    <w:div w:id="1368799292">
      <w:bodyDiv w:val="1"/>
      <w:marLeft w:val="0"/>
      <w:marRight w:val="0"/>
      <w:marTop w:val="0"/>
      <w:marBottom w:val="0"/>
      <w:divBdr>
        <w:top w:val="none" w:sz="0" w:space="0" w:color="auto"/>
        <w:left w:val="none" w:sz="0" w:space="0" w:color="auto"/>
        <w:bottom w:val="none" w:sz="0" w:space="0" w:color="auto"/>
        <w:right w:val="none" w:sz="0" w:space="0" w:color="auto"/>
      </w:divBdr>
    </w:div>
    <w:div w:id="1416633114">
      <w:bodyDiv w:val="1"/>
      <w:marLeft w:val="0"/>
      <w:marRight w:val="0"/>
      <w:marTop w:val="0"/>
      <w:marBottom w:val="0"/>
      <w:divBdr>
        <w:top w:val="none" w:sz="0" w:space="0" w:color="auto"/>
        <w:left w:val="none" w:sz="0" w:space="0" w:color="auto"/>
        <w:bottom w:val="none" w:sz="0" w:space="0" w:color="auto"/>
        <w:right w:val="none" w:sz="0" w:space="0" w:color="auto"/>
      </w:divBdr>
    </w:div>
    <w:div w:id="1427261992">
      <w:bodyDiv w:val="1"/>
      <w:marLeft w:val="0"/>
      <w:marRight w:val="0"/>
      <w:marTop w:val="0"/>
      <w:marBottom w:val="0"/>
      <w:divBdr>
        <w:top w:val="none" w:sz="0" w:space="0" w:color="auto"/>
        <w:left w:val="none" w:sz="0" w:space="0" w:color="auto"/>
        <w:bottom w:val="none" w:sz="0" w:space="0" w:color="auto"/>
        <w:right w:val="none" w:sz="0" w:space="0" w:color="auto"/>
      </w:divBdr>
    </w:div>
    <w:div w:id="1434322977">
      <w:bodyDiv w:val="1"/>
      <w:marLeft w:val="0"/>
      <w:marRight w:val="0"/>
      <w:marTop w:val="0"/>
      <w:marBottom w:val="0"/>
      <w:divBdr>
        <w:top w:val="none" w:sz="0" w:space="0" w:color="auto"/>
        <w:left w:val="none" w:sz="0" w:space="0" w:color="auto"/>
        <w:bottom w:val="none" w:sz="0" w:space="0" w:color="auto"/>
        <w:right w:val="none" w:sz="0" w:space="0" w:color="auto"/>
      </w:divBdr>
      <w:divsChild>
        <w:div w:id="784271442">
          <w:marLeft w:val="0"/>
          <w:marRight w:val="0"/>
          <w:marTop w:val="75"/>
          <w:marBottom w:val="0"/>
          <w:divBdr>
            <w:top w:val="none" w:sz="0" w:space="0" w:color="auto"/>
            <w:left w:val="none" w:sz="0" w:space="0" w:color="auto"/>
            <w:bottom w:val="none" w:sz="0" w:space="0" w:color="auto"/>
            <w:right w:val="none" w:sz="0" w:space="0" w:color="auto"/>
          </w:divBdr>
        </w:div>
        <w:div w:id="41025795">
          <w:marLeft w:val="0"/>
          <w:marRight w:val="225"/>
          <w:marTop w:val="0"/>
          <w:marBottom w:val="0"/>
          <w:divBdr>
            <w:top w:val="single" w:sz="6" w:space="0" w:color="EEEEEE"/>
            <w:left w:val="single" w:sz="6" w:space="0" w:color="EEEEEE"/>
            <w:bottom w:val="single" w:sz="6" w:space="0" w:color="EEEEEE"/>
            <w:right w:val="single" w:sz="6" w:space="0" w:color="EEEEEE"/>
          </w:divBdr>
          <w:divsChild>
            <w:div w:id="1143697739">
              <w:marLeft w:val="0"/>
              <w:marRight w:val="0"/>
              <w:marTop w:val="0"/>
              <w:marBottom w:val="0"/>
              <w:divBdr>
                <w:top w:val="none" w:sz="0" w:space="0" w:color="auto"/>
                <w:left w:val="none" w:sz="0" w:space="0" w:color="auto"/>
                <w:bottom w:val="none" w:sz="0" w:space="0" w:color="auto"/>
                <w:right w:val="none" w:sz="0" w:space="0" w:color="auto"/>
              </w:divBdr>
            </w:div>
          </w:divsChild>
        </w:div>
        <w:div w:id="1537739629">
          <w:marLeft w:val="0"/>
          <w:marRight w:val="0"/>
          <w:marTop w:val="0"/>
          <w:marBottom w:val="0"/>
          <w:divBdr>
            <w:top w:val="none" w:sz="0" w:space="0" w:color="auto"/>
            <w:left w:val="none" w:sz="0" w:space="0" w:color="auto"/>
            <w:bottom w:val="none" w:sz="0" w:space="0" w:color="auto"/>
            <w:right w:val="none" w:sz="0" w:space="0" w:color="auto"/>
          </w:divBdr>
        </w:div>
      </w:divsChild>
    </w:div>
    <w:div w:id="1439787478">
      <w:bodyDiv w:val="1"/>
      <w:marLeft w:val="0"/>
      <w:marRight w:val="0"/>
      <w:marTop w:val="0"/>
      <w:marBottom w:val="0"/>
      <w:divBdr>
        <w:top w:val="none" w:sz="0" w:space="0" w:color="auto"/>
        <w:left w:val="none" w:sz="0" w:space="0" w:color="auto"/>
        <w:bottom w:val="none" w:sz="0" w:space="0" w:color="auto"/>
        <w:right w:val="none" w:sz="0" w:space="0" w:color="auto"/>
      </w:divBdr>
    </w:div>
    <w:div w:id="1480414687">
      <w:bodyDiv w:val="1"/>
      <w:marLeft w:val="0"/>
      <w:marRight w:val="0"/>
      <w:marTop w:val="0"/>
      <w:marBottom w:val="0"/>
      <w:divBdr>
        <w:top w:val="none" w:sz="0" w:space="0" w:color="auto"/>
        <w:left w:val="none" w:sz="0" w:space="0" w:color="auto"/>
        <w:bottom w:val="none" w:sz="0" w:space="0" w:color="auto"/>
        <w:right w:val="none" w:sz="0" w:space="0" w:color="auto"/>
      </w:divBdr>
    </w:div>
    <w:div w:id="1532259197">
      <w:bodyDiv w:val="1"/>
      <w:marLeft w:val="0"/>
      <w:marRight w:val="0"/>
      <w:marTop w:val="0"/>
      <w:marBottom w:val="0"/>
      <w:divBdr>
        <w:top w:val="none" w:sz="0" w:space="0" w:color="auto"/>
        <w:left w:val="none" w:sz="0" w:space="0" w:color="auto"/>
        <w:bottom w:val="none" w:sz="0" w:space="0" w:color="auto"/>
        <w:right w:val="none" w:sz="0" w:space="0" w:color="auto"/>
      </w:divBdr>
      <w:divsChild>
        <w:div w:id="179782886">
          <w:marLeft w:val="0"/>
          <w:marRight w:val="0"/>
          <w:marTop w:val="75"/>
          <w:marBottom w:val="0"/>
          <w:divBdr>
            <w:top w:val="none" w:sz="0" w:space="0" w:color="auto"/>
            <w:left w:val="none" w:sz="0" w:space="0" w:color="auto"/>
            <w:bottom w:val="none" w:sz="0" w:space="0" w:color="auto"/>
            <w:right w:val="none" w:sz="0" w:space="0" w:color="auto"/>
          </w:divBdr>
        </w:div>
        <w:div w:id="408187654">
          <w:marLeft w:val="0"/>
          <w:marRight w:val="0"/>
          <w:marTop w:val="0"/>
          <w:marBottom w:val="0"/>
          <w:divBdr>
            <w:top w:val="none" w:sz="0" w:space="0" w:color="auto"/>
            <w:left w:val="none" w:sz="0" w:space="0" w:color="auto"/>
            <w:bottom w:val="none" w:sz="0" w:space="0" w:color="auto"/>
            <w:right w:val="none" w:sz="0" w:space="0" w:color="auto"/>
          </w:divBdr>
        </w:div>
        <w:div w:id="1456026912">
          <w:marLeft w:val="0"/>
          <w:marRight w:val="0"/>
          <w:marTop w:val="0"/>
          <w:marBottom w:val="0"/>
          <w:divBdr>
            <w:top w:val="single" w:sz="6" w:space="0" w:color="EEEEEE"/>
            <w:left w:val="single" w:sz="6" w:space="0" w:color="EEEEEE"/>
            <w:bottom w:val="single" w:sz="6" w:space="0" w:color="EEEEEE"/>
            <w:right w:val="single" w:sz="6" w:space="0" w:color="EEEEEE"/>
          </w:divBdr>
          <w:divsChild>
            <w:div w:id="10395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1439">
      <w:bodyDiv w:val="1"/>
      <w:marLeft w:val="0"/>
      <w:marRight w:val="0"/>
      <w:marTop w:val="0"/>
      <w:marBottom w:val="0"/>
      <w:divBdr>
        <w:top w:val="none" w:sz="0" w:space="0" w:color="auto"/>
        <w:left w:val="none" w:sz="0" w:space="0" w:color="auto"/>
        <w:bottom w:val="none" w:sz="0" w:space="0" w:color="auto"/>
        <w:right w:val="none" w:sz="0" w:space="0" w:color="auto"/>
      </w:divBdr>
    </w:div>
    <w:div w:id="1548227052">
      <w:bodyDiv w:val="1"/>
      <w:marLeft w:val="0"/>
      <w:marRight w:val="0"/>
      <w:marTop w:val="0"/>
      <w:marBottom w:val="0"/>
      <w:divBdr>
        <w:top w:val="none" w:sz="0" w:space="0" w:color="auto"/>
        <w:left w:val="none" w:sz="0" w:space="0" w:color="auto"/>
        <w:bottom w:val="none" w:sz="0" w:space="0" w:color="auto"/>
        <w:right w:val="none" w:sz="0" w:space="0" w:color="auto"/>
      </w:divBdr>
    </w:div>
    <w:div w:id="1635332019">
      <w:bodyDiv w:val="1"/>
      <w:marLeft w:val="0"/>
      <w:marRight w:val="0"/>
      <w:marTop w:val="0"/>
      <w:marBottom w:val="0"/>
      <w:divBdr>
        <w:top w:val="none" w:sz="0" w:space="0" w:color="auto"/>
        <w:left w:val="none" w:sz="0" w:space="0" w:color="auto"/>
        <w:bottom w:val="none" w:sz="0" w:space="0" w:color="auto"/>
        <w:right w:val="none" w:sz="0" w:space="0" w:color="auto"/>
      </w:divBdr>
    </w:div>
    <w:div w:id="1638299876">
      <w:bodyDiv w:val="1"/>
      <w:marLeft w:val="0"/>
      <w:marRight w:val="0"/>
      <w:marTop w:val="0"/>
      <w:marBottom w:val="0"/>
      <w:divBdr>
        <w:top w:val="none" w:sz="0" w:space="0" w:color="auto"/>
        <w:left w:val="none" w:sz="0" w:space="0" w:color="auto"/>
        <w:bottom w:val="none" w:sz="0" w:space="0" w:color="auto"/>
        <w:right w:val="none" w:sz="0" w:space="0" w:color="auto"/>
      </w:divBdr>
    </w:div>
    <w:div w:id="1639650414">
      <w:bodyDiv w:val="1"/>
      <w:marLeft w:val="0"/>
      <w:marRight w:val="0"/>
      <w:marTop w:val="0"/>
      <w:marBottom w:val="0"/>
      <w:divBdr>
        <w:top w:val="none" w:sz="0" w:space="0" w:color="auto"/>
        <w:left w:val="none" w:sz="0" w:space="0" w:color="auto"/>
        <w:bottom w:val="none" w:sz="0" w:space="0" w:color="auto"/>
        <w:right w:val="none" w:sz="0" w:space="0" w:color="auto"/>
      </w:divBdr>
    </w:div>
    <w:div w:id="1640769794">
      <w:bodyDiv w:val="1"/>
      <w:marLeft w:val="0"/>
      <w:marRight w:val="0"/>
      <w:marTop w:val="0"/>
      <w:marBottom w:val="0"/>
      <w:divBdr>
        <w:top w:val="none" w:sz="0" w:space="0" w:color="auto"/>
        <w:left w:val="none" w:sz="0" w:space="0" w:color="auto"/>
        <w:bottom w:val="none" w:sz="0" w:space="0" w:color="auto"/>
        <w:right w:val="none" w:sz="0" w:space="0" w:color="auto"/>
      </w:divBdr>
    </w:div>
    <w:div w:id="1678264364">
      <w:bodyDiv w:val="1"/>
      <w:marLeft w:val="0"/>
      <w:marRight w:val="0"/>
      <w:marTop w:val="0"/>
      <w:marBottom w:val="0"/>
      <w:divBdr>
        <w:top w:val="none" w:sz="0" w:space="0" w:color="auto"/>
        <w:left w:val="none" w:sz="0" w:space="0" w:color="auto"/>
        <w:bottom w:val="none" w:sz="0" w:space="0" w:color="auto"/>
        <w:right w:val="none" w:sz="0" w:space="0" w:color="auto"/>
      </w:divBdr>
    </w:div>
    <w:div w:id="1687905096">
      <w:bodyDiv w:val="1"/>
      <w:marLeft w:val="0"/>
      <w:marRight w:val="0"/>
      <w:marTop w:val="0"/>
      <w:marBottom w:val="0"/>
      <w:divBdr>
        <w:top w:val="none" w:sz="0" w:space="0" w:color="auto"/>
        <w:left w:val="none" w:sz="0" w:space="0" w:color="auto"/>
        <w:bottom w:val="none" w:sz="0" w:space="0" w:color="auto"/>
        <w:right w:val="none" w:sz="0" w:space="0" w:color="auto"/>
      </w:divBdr>
    </w:div>
    <w:div w:id="1696149671">
      <w:bodyDiv w:val="1"/>
      <w:marLeft w:val="0"/>
      <w:marRight w:val="0"/>
      <w:marTop w:val="0"/>
      <w:marBottom w:val="0"/>
      <w:divBdr>
        <w:top w:val="none" w:sz="0" w:space="0" w:color="auto"/>
        <w:left w:val="none" w:sz="0" w:space="0" w:color="auto"/>
        <w:bottom w:val="none" w:sz="0" w:space="0" w:color="auto"/>
        <w:right w:val="none" w:sz="0" w:space="0" w:color="auto"/>
      </w:divBdr>
    </w:div>
    <w:div w:id="1709065840">
      <w:bodyDiv w:val="1"/>
      <w:marLeft w:val="0"/>
      <w:marRight w:val="0"/>
      <w:marTop w:val="0"/>
      <w:marBottom w:val="0"/>
      <w:divBdr>
        <w:top w:val="none" w:sz="0" w:space="0" w:color="auto"/>
        <w:left w:val="none" w:sz="0" w:space="0" w:color="auto"/>
        <w:bottom w:val="none" w:sz="0" w:space="0" w:color="auto"/>
        <w:right w:val="none" w:sz="0" w:space="0" w:color="auto"/>
      </w:divBdr>
      <w:divsChild>
        <w:div w:id="702176135">
          <w:marLeft w:val="547"/>
          <w:marRight w:val="0"/>
          <w:marTop w:val="0"/>
          <w:marBottom w:val="0"/>
          <w:divBdr>
            <w:top w:val="none" w:sz="0" w:space="0" w:color="auto"/>
            <w:left w:val="none" w:sz="0" w:space="0" w:color="auto"/>
            <w:bottom w:val="none" w:sz="0" w:space="0" w:color="auto"/>
            <w:right w:val="none" w:sz="0" w:space="0" w:color="auto"/>
          </w:divBdr>
        </w:div>
      </w:divsChild>
    </w:div>
    <w:div w:id="1735348686">
      <w:bodyDiv w:val="1"/>
      <w:marLeft w:val="0"/>
      <w:marRight w:val="0"/>
      <w:marTop w:val="0"/>
      <w:marBottom w:val="0"/>
      <w:divBdr>
        <w:top w:val="none" w:sz="0" w:space="0" w:color="auto"/>
        <w:left w:val="none" w:sz="0" w:space="0" w:color="auto"/>
        <w:bottom w:val="none" w:sz="0" w:space="0" w:color="auto"/>
        <w:right w:val="none" w:sz="0" w:space="0" w:color="auto"/>
      </w:divBdr>
    </w:div>
    <w:div w:id="1778602455">
      <w:bodyDiv w:val="1"/>
      <w:marLeft w:val="0"/>
      <w:marRight w:val="0"/>
      <w:marTop w:val="0"/>
      <w:marBottom w:val="0"/>
      <w:divBdr>
        <w:top w:val="none" w:sz="0" w:space="0" w:color="auto"/>
        <w:left w:val="none" w:sz="0" w:space="0" w:color="auto"/>
        <w:bottom w:val="none" w:sz="0" w:space="0" w:color="auto"/>
        <w:right w:val="none" w:sz="0" w:space="0" w:color="auto"/>
      </w:divBdr>
      <w:divsChild>
        <w:div w:id="944269530">
          <w:marLeft w:val="0"/>
          <w:marRight w:val="0"/>
          <w:marTop w:val="0"/>
          <w:marBottom w:val="0"/>
          <w:divBdr>
            <w:top w:val="none" w:sz="0" w:space="0" w:color="auto"/>
            <w:left w:val="none" w:sz="0" w:space="0" w:color="auto"/>
            <w:bottom w:val="none" w:sz="0" w:space="0" w:color="auto"/>
            <w:right w:val="none" w:sz="0" w:space="0" w:color="auto"/>
          </w:divBdr>
          <w:divsChild>
            <w:div w:id="410929312">
              <w:marLeft w:val="0"/>
              <w:marRight w:val="0"/>
              <w:marTop w:val="0"/>
              <w:marBottom w:val="0"/>
              <w:divBdr>
                <w:top w:val="none" w:sz="0" w:space="0" w:color="auto"/>
                <w:left w:val="none" w:sz="0" w:space="0" w:color="auto"/>
                <w:bottom w:val="none" w:sz="0" w:space="0" w:color="auto"/>
                <w:right w:val="none" w:sz="0" w:space="0" w:color="auto"/>
              </w:divBdr>
            </w:div>
          </w:divsChild>
        </w:div>
        <w:div w:id="811798925">
          <w:marLeft w:val="0"/>
          <w:marRight w:val="0"/>
          <w:marTop w:val="0"/>
          <w:marBottom w:val="0"/>
          <w:divBdr>
            <w:top w:val="none" w:sz="0" w:space="0" w:color="auto"/>
            <w:left w:val="none" w:sz="0" w:space="0" w:color="auto"/>
            <w:bottom w:val="none" w:sz="0" w:space="0" w:color="auto"/>
            <w:right w:val="none" w:sz="0" w:space="0" w:color="auto"/>
          </w:divBdr>
          <w:divsChild>
            <w:div w:id="1240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988">
      <w:bodyDiv w:val="1"/>
      <w:marLeft w:val="0"/>
      <w:marRight w:val="0"/>
      <w:marTop w:val="0"/>
      <w:marBottom w:val="0"/>
      <w:divBdr>
        <w:top w:val="none" w:sz="0" w:space="0" w:color="auto"/>
        <w:left w:val="none" w:sz="0" w:space="0" w:color="auto"/>
        <w:bottom w:val="none" w:sz="0" w:space="0" w:color="auto"/>
        <w:right w:val="none" w:sz="0" w:space="0" w:color="auto"/>
      </w:divBdr>
    </w:div>
    <w:div w:id="1799643915">
      <w:bodyDiv w:val="1"/>
      <w:marLeft w:val="0"/>
      <w:marRight w:val="0"/>
      <w:marTop w:val="0"/>
      <w:marBottom w:val="0"/>
      <w:divBdr>
        <w:top w:val="none" w:sz="0" w:space="0" w:color="auto"/>
        <w:left w:val="none" w:sz="0" w:space="0" w:color="auto"/>
        <w:bottom w:val="none" w:sz="0" w:space="0" w:color="auto"/>
        <w:right w:val="none" w:sz="0" w:space="0" w:color="auto"/>
      </w:divBdr>
    </w:div>
    <w:div w:id="1824347761">
      <w:bodyDiv w:val="1"/>
      <w:marLeft w:val="0"/>
      <w:marRight w:val="0"/>
      <w:marTop w:val="0"/>
      <w:marBottom w:val="0"/>
      <w:divBdr>
        <w:top w:val="none" w:sz="0" w:space="0" w:color="auto"/>
        <w:left w:val="none" w:sz="0" w:space="0" w:color="auto"/>
        <w:bottom w:val="none" w:sz="0" w:space="0" w:color="auto"/>
        <w:right w:val="none" w:sz="0" w:space="0" w:color="auto"/>
      </w:divBdr>
    </w:div>
    <w:div w:id="1849712217">
      <w:bodyDiv w:val="1"/>
      <w:marLeft w:val="0"/>
      <w:marRight w:val="0"/>
      <w:marTop w:val="0"/>
      <w:marBottom w:val="0"/>
      <w:divBdr>
        <w:top w:val="none" w:sz="0" w:space="0" w:color="auto"/>
        <w:left w:val="none" w:sz="0" w:space="0" w:color="auto"/>
        <w:bottom w:val="none" w:sz="0" w:space="0" w:color="auto"/>
        <w:right w:val="none" w:sz="0" w:space="0" w:color="auto"/>
      </w:divBdr>
    </w:div>
    <w:div w:id="1893925473">
      <w:bodyDiv w:val="1"/>
      <w:marLeft w:val="0"/>
      <w:marRight w:val="0"/>
      <w:marTop w:val="0"/>
      <w:marBottom w:val="0"/>
      <w:divBdr>
        <w:top w:val="none" w:sz="0" w:space="0" w:color="auto"/>
        <w:left w:val="none" w:sz="0" w:space="0" w:color="auto"/>
        <w:bottom w:val="none" w:sz="0" w:space="0" w:color="auto"/>
        <w:right w:val="none" w:sz="0" w:space="0" w:color="auto"/>
      </w:divBdr>
    </w:div>
    <w:div w:id="1899317911">
      <w:bodyDiv w:val="1"/>
      <w:marLeft w:val="0"/>
      <w:marRight w:val="0"/>
      <w:marTop w:val="0"/>
      <w:marBottom w:val="0"/>
      <w:divBdr>
        <w:top w:val="none" w:sz="0" w:space="0" w:color="auto"/>
        <w:left w:val="none" w:sz="0" w:space="0" w:color="auto"/>
        <w:bottom w:val="none" w:sz="0" w:space="0" w:color="auto"/>
        <w:right w:val="none" w:sz="0" w:space="0" w:color="auto"/>
      </w:divBdr>
    </w:div>
    <w:div w:id="1899853736">
      <w:bodyDiv w:val="1"/>
      <w:marLeft w:val="0"/>
      <w:marRight w:val="0"/>
      <w:marTop w:val="0"/>
      <w:marBottom w:val="0"/>
      <w:divBdr>
        <w:top w:val="none" w:sz="0" w:space="0" w:color="auto"/>
        <w:left w:val="none" w:sz="0" w:space="0" w:color="auto"/>
        <w:bottom w:val="none" w:sz="0" w:space="0" w:color="auto"/>
        <w:right w:val="none" w:sz="0" w:space="0" w:color="auto"/>
      </w:divBdr>
      <w:divsChild>
        <w:div w:id="1931625176">
          <w:marLeft w:val="0"/>
          <w:marRight w:val="0"/>
          <w:marTop w:val="0"/>
          <w:marBottom w:val="0"/>
          <w:divBdr>
            <w:top w:val="none" w:sz="0" w:space="0" w:color="auto"/>
            <w:left w:val="none" w:sz="0" w:space="0" w:color="auto"/>
            <w:bottom w:val="none" w:sz="0" w:space="0" w:color="auto"/>
            <w:right w:val="none" w:sz="0" w:space="0" w:color="auto"/>
          </w:divBdr>
        </w:div>
      </w:divsChild>
    </w:div>
    <w:div w:id="1909530813">
      <w:bodyDiv w:val="1"/>
      <w:marLeft w:val="0"/>
      <w:marRight w:val="0"/>
      <w:marTop w:val="0"/>
      <w:marBottom w:val="0"/>
      <w:divBdr>
        <w:top w:val="none" w:sz="0" w:space="0" w:color="auto"/>
        <w:left w:val="none" w:sz="0" w:space="0" w:color="auto"/>
        <w:bottom w:val="none" w:sz="0" w:space="0" w:color="auto"/>
        <w:right w:val="none" w:sz="0" w:space="0" w:color="auto"/>
      </w:divBdr>
    </w:div>
    <w:div w:id="1923561032">
      <w:bodyDiv w:val="1"/>
      <w:marLeft w:val="0"/>
      <w:marRight w:val="0"/>
      <w:marTop w:val="0"/>
      <w:marBottom w:val="0"/>
      <w:divBdr>
        <w:top w:val="none" w:sz="0" w:space="0" w:color="auto"/>
        <w:left w:val="none" w:sz="0" w:space="0" w:color="auto"/>
        <w:bottom w:val="none" w:sz="0" w:space="0" w:color="auto"/>
        <w:right w:val="none" w:sz="0" w:space="0" w:color="auto"/>
      </w:divBdr>
    </w:div>
    <w:div w:id="1923753535">
      <w:bodyDiv w:val="1"/>
      <w:marLeft w:val="0"/>
      <w:marRight w:val="0"/>
      <w:marTop w:val="0"/>
      <w:marBottom w:val="0"/>
      <w:divBdr>
        <w:top w:val="none" w:sz="0" w:space="0" w:color="auto"/>
        <w:left w:val="none" w:sz="0" w:space="0" w:color="auto"/>
        <w:bottom w:val="none" w:sz="0" w:space="0" w:color="auto"/>
        <w:right w:val="none" w:sz="0" w:space="0" w:color="auto"/>
      </w:divBdr>
    </w:div>
    <w:div w:id="1934044267">
      <w:bodyDiv w:val="1"/>
      <w:marLeft w:val="0"/>
      <w:marRight w:val="0"/>
      <w:marTop w:val="0"/>
      <w:marBottom w:val="0"/>
      <w:divBdr>
        <w:top w:val="none" w:sz="0" w:space="0" w:color="auto"/>
        <w:left w:val="none" w:sz="0" w:space="0" w:color="auto"/>
        <w:bottom w:val="none" w:sz="0" w:space="0" w:color="auto"/>
        <w:right w:val="none" w:sz="0" w:space="0" w:color="auto"/>
      </w:divBdr>
    </w:div>
    <w:div w:id="1954243888">
      <w:bodyDiv w:val="1"/>
      <w:marLeft w:val="0"/>
      <w:marRight w:val="0"/>
      <w:marTop w:val="0"/>
      <w:marBottom w:val="0"/>
      <w:divBdr>
        <w:top w:val="none" w:sz="0" w:space="0" w:color="auto"/>
        <w:left w:val="none" w:sz="0" w:space="0" w:color="auto"/>
        <w:bottom w:val="none" w:sz="0" w:space="0" w:color="auto"/>
        <w:right w:val="none" w:sz="0" w:space="0" w:color="auto"/>
      </w:divBdr>
    </w:div>
    <w:div w:id="1955016225">
      <w:bodyDiv w:val="1"/>
      <w:marLeft w:val="0"/>
      <w:marRight w:val="0"/>
      <w:marTop w:val="0"/>
      <w:marBottom w:val="0"/>
      <w:divBdr>
        <w:top w:val="none" w:sz="0" w:space="0" w:color="auto"/>
        <w:left w:val="none" w:sz="0" w:space="0" w:color="auto"/>
        <w:bottom w:val="none" w:sz="0" w:space="0" w:color="auto"/>
        <w:right w:val="none" w:sz="0" w:space="0" w:color="auto"/>
      </w:divBdr>
    </w:div>
    <w:div w:id="1963152987">
      <w:bodyDiv w:val="1"/>
      <w:marLeft w:val="0"/>
      <w:marRight w:val="0"/>
      <w:marTop w:val="0"/>
      <w:marBottom w:val="0"/>
      <w:divBdr>
        <w:top w:val="none" w:sz="0" w:space="0" w:color="auto"/>
        <w:left w:val="none" w:sz="0" w:space="0" w:color="auto"/>
        <w:bottom w:val="none" w:sz="0" w:space="0" w:color="auto"/>
        <w:right w:val="none" w:sz="0" w:space="0" w:color="auto"/>
      </w:divBdr>
    </w:div>
    <w:div w:id="2016416282">
      <w:bodyDiv w:val="1"/>
      <w:marLeft w:val="0"/>
      <w:marRight w:val="0"/>
      <w:marTop w:val="0"/>
      <w:marBottom w:val="0"/>
      <w:divBdr>
        <w:top w:val="none" w:sz="0" w:space="0" w:color="auto"/>
        <w:left w:val="none" w:sz="0" w:space="0" w:color="auto"/>
        <w:bottom w:val="none" w:sz="0" w:space="0" w:color="auto"/>
        <w:right w:val="none" w:sz="0" w:space="0" w:color="auto"/>
      </w:divBdr>
    </w:div>
    <w:div w:id="2036030495">
      <w:bodyDiv w:val="1"/>
      <w:marLeft w:val="0"/>
      <w:marRight w:val="0"/>
      <w:marTop w:val="0"/>
      <w:marBottom w:val="0"/>
      <w:divBdr>
        <w:top w:val="none" w:sz="0" w:space="0" w:color="auto"/>
        <w:left w:val="none" w:sz="0" w:space="0" w:color="auto"/>
        <w:bottom w:val="none" w:sz="0" w:space="0" w:color="auto"/>
        <w:right w:val="none" w:sz="0" w:space="0" w:color="auto"/>
      </w:divBdr>
    </w:div>
    <w:div w:id="2055032527">
      <w:bodyDiv w:val="1"/>
      <w:marLeft w:val="0"/>
      <w:marRight w:val="0"/>
      <w:marTop w:val="0"/>
      <w:marBottom w:val="0"/>
      <w:divBdr>
        <w:top w:val="none" w:sz="0" w:space="0" w:color="auto"/>
        <w:left w:val="none" w:sz="0" w:space="0" w:color="auto"/>
        <w:bottom w:val="none" w:sz="0" w:space="0" w:color="auto"/>
        <w:right w:val="none" w:sz="0" w:space="0" w:color="auto"/>
      </w:divBdr>
    </w:div>
    <w:div w:id="2082175424">
      <w:bodyDiv w:val="1"/>
      <w:marLeft w:val="0"/>
      <w:marRight w:val="0"/>
      <w:marTop w:val="0"/>
      <w:marBottom w:val="0"/>
      <w:divBdr>
        <w:top w:val="none" w:sz="0" w:space="0" w:color="auto"/>
        <w:left w:val="none" w:sz="0" w:space="0" w:color="auto"/>
        <w:bottom w:val="none" w:sz="0" w:space="0" w:color="auto"/>
        <w:right w:val="none" w:sz="0" w:space="0" w:color="auto"/>
      </w:divBdr>
    </w:div>
    <w:div w:id="2115053161">
      <w:bodyDiv w:val="1"/>
      <w:marLeft w:val="0"/>
      <w:marRight w:val="0"/>
      <w:marTop w:val="0"/>
      <w:marBottom w:val="0"/>
      <w:divBdr>
        <w:top w:val="none" w:sz="0" w:space="0" w:color="auto"/>
        <w:left w:val="none" w:sz="0" w:space="0" w:color="auto"/>
        <w:bottom w:val="none" w:sz="0" w:space="0" w:color="auto"/>
        <w:right w:val="none" w:sz="0" w:space="0" w:color="auto"/>
      </w:divBdr>
    </w:div>
    <w:div w:id="2122727723">
      <w:bodyDiv w:val="1"/>
      <w:marLeft w:val="0"/>
      <w:marRight w:val="0"/>
      <w:marTop w:val="0"/>
      <w:marBottom w:val="0"/>
      <w:divBdr>
        <w:top w:val="none" w:sz="0" w:space="0" w:color="auto"/>
        <w:left w:val="none" w:sz="0" w:space="0" w:color="auto"/>
        <w:bottom w:val="none" w:sz="0" w:space="0" w:color="auto"/>
        <w:right w:val="none" w:sz="0" w:space="0" w:color="auto"/>
      </w:divBdr>
    </w:div>
    <w:div w:id="2127264946">
      <w:bodyDiv w:val="1"/>
      <w:marLeft w:val="0"/>
      <w:marRight w:val="0"/>
      <w:marTop w:val="0"/>
      <w:marBottom w:val="0"/>
      <w:divBdr>
        <w:top w:val="none" w:sz="0" w:space="0" w:color="auto"/>
        <w:left w:val="none" w:sz="0" w:space="0" w:color="auto"/>
        <w:bottom w:val="none" w:sz="0" w:space="0" w:color="auto"/>
        <w:right w:val="none" w:sz="0" w:space="0" w:color="auto"/>
      </w:divBdr>
    </w:div>
    <w:div w:id="2138638577">
      <w:bodyDiv w:val="1"/>
      <w:marLeft w:val="0"/>
      <w:marRight w:val="0"/>
      <w:marTop w:val="0"/>
      <w:marBottom w:val="0"/>
      <w:divBdr>
        <w:top w:val="none" w:sz="0" w:space="0" w:color="auto"/>
        <w:left w:val="none" w:sz="0" w:space="0" w:color="auto"/>
        <w:bottom w:val="none" w:sz="0" w:space="0" w:color="auto"/>
        <w:right w:val="none" w:sz="0" w:space="0" w:color="auto"/>
      </w:divBdr>
      <w:divsChild>
        <w:div w:id="1407729868">
          <w:marLeft w:val="0"/>
          <w:marRight w:val="0"/>
          <w:marTop w:val="0"/>
          <w:marBottom w:val="0"/>
          <w:divBdr>
            <w:top w:val="none" w:sz="0" w:space="0" w:color="auto"/>
            <w:left w:val="none" w:sz="0" w:space="0" w:color="auto"/>
            <w:bottom w:val="none" w:sz="0" w:space="0" w:color="auto"/>
            <w:right w:val="none" w:sz="0" w:space="0" w:color="auto"/>
          </w:divBdr>
        </w:div>
      </w:divsChild>
    </w:div>
    <w:div w:id="2143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mcordi.sc.gov.br/estruturaorganizacional/hotsite/index/codHotsite/2389"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5337-C3B0-417C-8CF8-1A00BB84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8310</Words>
  <Characters>44878</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cp:lastModifiedBy>
  <cp:revision>40</cp:revision>
  <cp:lastPrinted>2020-02-26T13:15:00Z</cp:lastPrinted>
  <dcterms:created xsi:type="dcterms:W3CDTF">2020-02-12T13:12:00Z</dcterms:created>
  <dcterms:modified xsi:type="dcterms:W3CDTF">2020-02-26T13:16:00Z</dcterms:modified>
</cp:coreProperties>
</file>