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4E" w:rsidRDefault="00B1655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sidRPr="00116D9A">
        <w:rPr>
          <w:rFonts w:ascii="Bahnschrift SemiBold" w:hAnsi="Bahnschrift SemiBold" w:cs="Arial"/>
          <w:b/>
          <w:color w:val="215868" w:themeColor="accent5" w:themeShade="80"/>
          <w:sz w:val="62"/>
          <w:szCs w:val="62"/>
        </w:rPr>
        <w:t xml:space="preserve">MUNICÍPIO DE </w:t>
      </w:r>
      <w:r w:rsidR="005F5781">
        <w:rPr>
          <w:rFonts w:ascii="Bahnschrift SemiBold" w:hAnsi="Bahnschrift SemiBold" w:cs="Arial"/>
          <w:b/>
          <w:color w:val="215868" w:themeColor="accent5" w:themeShade="80"/>
          <w:sz w:val="62"/>
          <w:szCs w:val="62"/>
        </w:rPr>
        <w:t>SANTA TEREZINHA DO PROGRESSO</w:t>
      </w:r>
      <w:r w:rsidR="00ED3055">
        <w:rPr>
          <w:rFonts w:ascii="Bahnschrift SemiBold" w:hAnsi="Bahnschrift SemiBold" w:cs="Arial"/>
          <w:b/>
          <w:color w:val="215868" w:themeColor="accent5" w:themeShade="80"/>
          <w:sz w:val="62"/>
          <w:szCs w:val="62"/>
        </w:rPr>
        <w:t>, SC.</w:t>
      </w:r>
    </w:p>
    <w:p w:rsidR="00015DAE" w:rsidRDefault="00B1655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sidRPr="00116D9A">
        <w:rPr>
          <w:rFonts w:ascii="Bahnschrift SemiBold" w:hAnsi="Bahnschrift SemiBold" w:cs="Arial"/>
          <w:b/>
          <w:color w:val="215868" w:themeColor="accent5" w:themeShade="80"/>
          <w:sz w:val="62"/>
          <w:szCs w:val="62"/>
        </w:rPr>
        <w:t xml:space="preserve"> </w:t>
      </w:r>
    </w:p>
    <w:p w:rsidR="00015DAE" w:rsidRDefault="00015DAE"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noProof/>
          <w:lang w:eastAsia="pt-BR"/>
        </w:rPr>
        <w:drawing>
          <wp:inline distT="0" distB="0" distL="0" distR="0">
            <wp:extent cx="5760720" cy="2970443"/>
            <wp:effectExtent l="19050" t="0" r="0" b="0"/>
            <wp:docPr id="2"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9" cstate="print"/>
                    <a:srcRect/>
                    <a:stretch>
                      <a:fillRect/>
                    </a:stretch>
                  </pic:blipFill>
                  <pic:spPr bwMode="auto">
                    <a:xfrm>
                      <a:off x="0" y="0"/>
                      <a:ext cx="5760720" cy="2970443"/>
                    </a:xfrm>
                    <a:prstGeom prst="rect">
                      <a:avLst/>
                    </a:prstGeom>
                    <a:noFill/>
                    <a:ln w="9525">
                      <a:noFill/>
                      <a:miter lim="800000"/>
                      <a:headEnd/>
                      <a:tailEnd/>
                    </a:ln>
                  </pic:spPr>
                </pic:pic>
              </a:graphicData>
            </a:graphic>
          </wp:inline>
        </w:drawing>
      </w:r>
    </w:p>
    <w:p w:rsidR="001D184E" w:rsidRDefault="001D184E" w:rsidP="001D184E">
      <w:pPr>
        <w:autoSpaceDE w:val="0"/>
        <w:autoSpaceDN w:val="0"/>
        <w:adjustRightInd w:val="0"/>
        <w:spacing w:after="0" w:line="240" w:lineRule="auto"/>
        <w:jc w:val="right"/>
        <w:rPr>
          <w:rFonts w:ascii="Bahnschrift SemiBold" w:hAnsi="Bahnschrift SemiBold" w:cs="Arial"/>
          <w:b/>
          <w:color w:val="215868" w:themeColor="accent5" w:themeShade="80"/>
          <w:sz w:val="62"/>
          <w:szCs w:val="62"/>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116D9A">
        <w:rPr>
          <w:rFonts w:ascii="Bahnschrift" w:hAnsi="Bahnschrift" w:cs="Arial"/>
          <w:b/>
          <w:color w:val="215868" w:themeColor="accent5" w:themeShade="80"/>
          <w:sz w:val="56"/>
          <w:szCs w:val="56"/>
        </w:rPr>
        <w:t>NOTAS EXPLICATIVAS ÀS DEMONSTRAÇÕES CONTÁBEIS 201</w:t>
      </w:r>
      <w:r w:rsidR="004A4223">
        <w:rPr>
          <w:rFonts w:ascii="Bahnschrift" w:hAnsi="Bahnschrift" w:cs="Arial"/>
          <w:b/>
          <w:color w:val="215868" w:themeColor="accent5" w:themeShade="80"/>
          <w:sz w:val="56"/>
          <w:szCs w:val="56"/>
        </w:rPr>
        <w:t>9</w:t>
      </w:r>
      <w:r w:rsidRPr="00116D9A">
        <w:rPr>
          <w:rFonts w:ascii="Bahnschrift" w:hAnsi="Bahnschrift" w:cs="Arial"/>
          <w:b/>
          <w:color w:val="215868" w:themeColor="accent5" w:themeShade="80"/>
          <w:sz w:val="56"/>
          <w:szCs w:val="56"/>
        </w:rPr>
        <w:t>.</w:t>
      </w:r>
    </w:p>
    <w:p w:rsidR="005254A5" w:rsidRDefault="005254A5"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5254A5" w:rsidRPr="00116D9A" w:rsidRDefault="005254A5"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CONSOLIDADO</w:t>
      </w:r>
    </w:p>
    <w:p w:rsidR="00A44BFC" w:rsidRPr="00116D9A" w:rsidRDefault="00A44BFC" w:rsidP="00807064">
      <w:pPr>
        <w:autoSpaceDE w:val="0"/>
        <w:autoSpaceDN w:val="0"/>
        <w:adjustRightInd w:val="0"/>
        <w:spacing w:after="0" w:line="240" w:lineRule="auto"/>
        <w:jc w:val="both"/>
        <w:rPr>
          <w:rFonts w:ascii="Arial" w:hAnsi="Arial" w:cs="Arial"/>
          <w:b/>
          <w:bCs/>
          <w:color w:val="215868" w:themeColor="accent5" w:themeShade="80"/>
        </w:rPr>
      </w:pPr>
    </w:p>
    <w:p w:rsidR="00051DC3" w:rsidRDefault="00051DC3"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1D184E" w:rsidRDefault="001D184E"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1D184E" w:rsidRPr="00116D9A" w:rsidRDefault="001D184E"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3C4CC7" w:rsidRPr="003C4CC7" w:rsidRDefault="003C4CC7" w:rsidP="001D184E">
      <w:pPr>
        <w:autoSpaceDE w:val="0"/>
        <w:autoSpaceDN w:val="0"/>
        <w:adjustRightInd w:val="0"/>
        <w:spacing w:after="0" w:line="240" w:lineRule="auto"/>
        <w:jc w:val="right"/>
        <w:rPr>
          <w:rFonts w:ascii="Bahnschrift" w:hAnsi="Bahnschrift" w:cs="Arial"/>
          <w:b/>
          <w:color w:val="215868" w:themeColor="accent5" w:themeShade="80"/>
          <w:sz w:val="56"/>
          <w:szCs w:val="56"/>
        </w:rPr>
      </w:pPr>
    </w:p>
    <w:p w:rsidR="003C4CC7" w:rsidRPr="00116D9A" w:rsidRDefault="003C4CC7" w:rsidP="00807064">
      <w:pPr>
        <w:autoSpaceDE w:val="0"/>
        <w:autoSpaceDN w:val="0"/>
        <w:adjustRightInd w:val="0"/>
        <w:spacing w:after="0" w:line="240" w:lineRule="auto"/>
        <w:jc w:val="right"/>
        <w:rPr>
          <w:rFonts w:ascii="Segoe Script" w:hAnsi="Segoe Script" w:cs="Arial"/>
          <w:b/>
          <w:color w:val="215868" w:themeColor="accent5" w:themeShade="80"/>
          <w:sz w:val="26"/>
          <w:szCs w:val="26"/>
        </w:rPr>
      </w:pPr>
    </w:p>
    <w:p w:rsidR="00AC2E48" w:rsidRPr="00116D9A" w:rsidRDefault="00AC2E48" w:rsidP="00807064">
      <w:pPr>
        <w:autoSpaceDE w:val="0"/>
        <w:autoSpaceDN w:val="0"/>
        <w:adjustRightInd w:val="0"/>
        <w:spacing w:after="0" w:line="240" w:lineRule="auto"/>
        <w:jc w:val="right"/>
        <w:rPr>
          <w:rFonts w:ascii="Segoe Script" w:hAnsi="Segoe Script" w:cs="Arial"/>
          <w:b/>
          <w:color w:val="215868" w:themeColor="accent5" w:themeShade="80"/>
          <w:sz w:val="26"/>
          <w:szCs w:val="26"/>
        </w:rPr>
      </w:pPr>
    </w:p>
    <w:p w:rsidR="0075701A" w:rsidRPr="00116D9A" w:rsidRDefault="0075701A" w:rsidP="00807064">
      <w:pPr>
        <w:autoSpaceDE w:val="0"/>
        <w:autoSpaceDN w:val="0"/>
        <w:adjustRightInd w:val="0"/>
        <w:spacing w:after="0" w:line="240" w:lineRule="auto"/>
        <w:jc w:val="both"/>
        <w:rPr>
          <w:rFonts w:ascii="Arial" w:hAnsi="Arial" w:cs="Arial"/>
          <w:b/>
          <w:bCs/>
          <w:color w:val="0070C0"/>
        </w:rPr>
      </w:pPr>
    </w:p>
    <w:p w:rsidR="0075701A" w:rsidRPr="00116D9A" w:rsidRDefault="0075701A"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3E4C6F" w:rsidRDefault="003E4C6F"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Pr="00116D9A" w:rsidRDefault="00D93977"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3E4C6F">
      <w:pPr>
        <w:spacing w:after="0" w:line="240" w:lineRule="auto"/>
        <w:ind w:left="-1276"/>
        <w:rPr>
          <w:b/>
          <w:color w:val="ABAA9B"/>
          <w:sz w:val="100"/>
        </w:rPr>
      </w:pPr>
      <w:r w:rsidRPr="00116D9A">
        <w:rPr>
          <w:b/>
          <w:color w:val="ABAA9B"/>
          <w:sz w:val="100"/>
        </w:rPr>
        <w:t>Este documento</w:t>
      </w:r>
      <w:r w:rsidR="00ED3055">
        <w:rPr>
          <w:b/>
          <w:color w:val="ABAA9B"/>
          <w:sz w:val="100"/>
        </w:rPr>
        <w:t xml:space="preserve"> </w:t>
      </w:r>
      <w:r w:rsidR="00ED3055">
        <w:rPr>
          <w:b/>
          <w:color w:val="ABAA9B"/>
          <w:sz w:val="100"/>
        </w:rPr>
        <w:br/>
      </w:r>
      <w:r w:rsidRPr="00116D9A">
        <w:rPr>
          <w:b/>
          <w:color w:val="ABAA9B"/>
          <w:sz w:val="100"/>
        </w:rPr>
        <w:t xml:space="preserve">é dos </w:t>
      </w:r>
    </w:p>
    <w:p w:rsidR="003E4C6F" w:rsidRPr="00116D9A" w:rsidRDefault="005F5781" w:rsidP="003E4C6F">
      <w:pPr>
        <w:spacing w:after="0" w:line="240" w:lineRule="auto"/>
        <w:ind w:left="-1276"/>
        <w:rPr>
          <w:b/>
          <w:color w:val="ABAA9B"/>
          <w:sz w:val="100"/>
        </w:rPr>
      </w:pPr>
      <w:proofErr w:type="spellStart"/>
      <w:r>
        <w:rPr>
          <w:b/>
          <w:color w:val="ABAA9B"/>
          <w:sz w:val="100"/>
        </w:rPr>
        <w:t>Terezinhano</w:t>
      </w:r>
      <w:r w:rsidR="00F373E8" w:rsidRPr="00116D9A">
        <w:rPr>
          <w:b/>
          <w:color w:val="ABAA9B"/>
          <w:sz w:val="100"/>
        </w:rPr>
        <w:t>s</w:t>
      </w:r>
      <w:proofErr w:type="spellEnd"/>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pPr>
      <w:r w:rsidRPr="00116D9A">
        <w:rPr>
          <w:sz w:val="30"/>
        </w:rPr>
        <w:t>A</w:t>
      </w:r>
      <w:r w:rsidR="001D184E">
        <w:rPr>
          <w:sz w:val="30"/>
        </w:rPr>
        <w:t>s</w:t>
      </w:r>
      <w:r w:rsidRPr="00116D9A">
        <w:rPr>
          <w:sz w:val="30"/>
        </w:rPr>
        <w:t xml:space="preserve"> Notas Explicativas não são só uma obrigação legal ou uma formalidade. É por meio deste documento que o Governo Municipal presta contas aos cidadãos </w:t>
      </w:r>
      <w:proofErr w:type="spellStart"/>
      <w:r w:rsidR="005F5781">
        <w:rPr>
          <w:sz w:val="30"/>
        </w:rPr>
        <w:t>terezinhano</w:t>
      </w:r>
      <w:r w:rsidR="00F373E8" w:rsidRPr="00116D9A">
        <w:rPr>
          <w:sz w:val="30"/>
        </w:rPr>
        <w:t>s</w:t>
      </w:r>
      <w:proofErr w:type="spellEnd"/>
      <w:r w:rsidRPr="00116D9A">
        <w:rPr>
          <w:sz w:val="30"/>
        </w:rPr>
        <w:t>.</w:t>
      </w: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5F5781" w:rsidRDefault="005F5781" w:rsidP="00807064">
      <w:pPr>
        <w:autoSpaceDE w:val="0"/>
        <w:autoSpaceDN w:val="0"/>
        <w:adjustRightInd w:val="0"/>
        <w:spacing w:after="0" w:line="240" w:lineRule="auto"/>
        <w:jc w:val="both"/>
        <w:rPr>
          <w:rFonts w:ascii="Arial" w:hAnsi="Arial" w:cs="Arial"/>
          <w:b/>
          <w:bCs/>
          <w:color w:val="0070C0"/>
        </w:rPr>
      </w:pPr>
    </w:p>
    <w:p w:rsidR="005F5781" w:rsidRDefault="005F5781" w:rsidP="00807064">
      <w:pPr>
        <w:autoSpaceDE w:val="0"/>
        <w:autoSpaceDN w:val="0"/>
        <w:adjustRightInd w:val="0"/>
        <w:spacing w:after="0" w:line="240" w:lineRule="auto"/>
        <w:jc w:val="both"/>
        <w:rPr>
          <w:rFonts w:ascii="Arial" w:hAnsi="Arial" w:cs="Arial"/>
          <w:b/>
          <w:bCs/>
          <w:color w:val="0070C0"/>
        </w:rPr>
      </w:pPr>
    </w:p>
    <w:p w:rsidR="001D184E" w:rsidRPr="00116D9A" w:rsidRDefault="001D184E" w:rsidP="00807064">
      <w:pPr>
        <w:autoSpaceDE w:val="0"/>
        <w:autoSpaceDN w:val="0"/>
        <w:adjustRightInd w:val="0"/>
        <w:spacing w:after="0" w:line="240" w:lineRule="auto"/>
        <w:jc w:val="both"/>
        <w:rPr>
          <w:rFonts w:ascii="Arial" w:hAnsi="Arial" w:cs="Arial"/>
          <w:b/>
          <w:bCs/>
          <w:color w:val="0070C0"/>
        </w:rPr>
      </w:pPr>
    </w:p>
    <w:p w:rsidR="003E4C6F" w:rsidRDefault="003E4C6F"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5254A5" w:rsidRDefault="005254A5" w:rsidP="00807064">
      <w:pPr>
        <w:autoSpaceDE w:val="0"/>
        <w:autoSpaceDN w:val="0"/>
        <w:adjustRightInd w:val="0"/>
        <w:spacing w:after="0" w:line="240" w:lineRule="auto"/>
        <w:jc w:val="both"/>
        <w:rPr>
          <w:rFonts w:ascii="Arial" w:hAnsi="Arial" w:cs="Arial"/>
          <w:b/>
          <w:bCs/>
          <w:color w:val="0070C0"/>
        </w:rPr>
      </w:pPr>
    </w:p>
    <w:p w:rsidR="005254A5" w:rsidRDefault="005254A5"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3A75D6" w:rsidRDefault="003A75D6" w:rsidP="00807064">
      <w:pPr>
        <w:autoSpaceDE w:val="0"/>
        <w:autoSpaceDN w:val="0"/>
        <w:adjustRightInd w:val="0"/>
        <w:spacing w:after="0" w:line="240" w:lineRule="auto"/>
        <w:jc w:val="both"/>
        <w:rPr>
          <w:rFonts w:ascii="Arial" w:hAnsi="Arial" w:cs="Arial"/>
          <w:b/>
          <w:bCs/>
          <w:color w:val="0070C0"/>
        </w:rPr>
      </w:pPr>
    </w:p>
    <w:p w:rsidR="00791982" w:rsidRDefault="00791982" w:rsidP="00807064">
      <w:pPr>
        <w:autoSpaceDE w:val="0"/>
        <w:autoSpaceDN w:val="0"/>
        <w:adjustRightInd w:val="0"/>
        <w:spacing w:after="0" w:line="240" w:lineRule="auto"/>
        <w:jc w:val="both"/>
        <w:rPr>
          <w:rFonts w:ascii="Arial" w:hAnsi="Arial" w:cs="Arial"/>
          <w:b/>
          <w:bCs/>
          <w:color w:val="0070C0"/>
        </w:rPr>
      </w:pPr>
    </w:p>
    <w:p w:rsidR="00D93977" w:rsidRDefault="00D93977" w:rsidP="00D93977">
      <w:pPr>
        <w:autoSpaceDE w:val="0"/>
        <w:autoSpaceDN w:val="0"/>
        <w:adjustRightInd w:val="0"/>
        <w:spacing w:after="0" w:line="240" w:lineRule="auto"/>
        <w:rPr>
          <w:rFonts w:ascii="Bahnschrift" w:hAnsi="Bahnschrift" w:cs="Arial"/>
          <w:b/>
          <w:bCs/>
          <w:sz w:val="28"/>
          <w:szCs w:val="28"/>
          <w:lang w:val="es-ES_tradnl"/>
        </w:rPr>
      </w:pPr>
      <w:r>
        <w:rPr>
          <w:rFonts w:ascii="Bahnschrift" w:hAnsi="Bahnschrift" w:cs="Arial"/>
          <w:b/>
          <w:bCs/>
          <w:sz w:val="28"/>
          <w:szCs w:val="28"/>
          <w:lang w:val="es-ES_tradnl"/>
        </w:rPr>
        <w:t>APRESENTAÇÃO DAS NOTAS EXPLICATIVAS</w:t>
      </w:r>
    </w:p>
    <w:p w:rsidR="00D93977" w:rsidRDefault="00D93977" w:rsidP="00D93977">
      <w:pPr>
        <w:autoSpaceDE w:val="0"/>
        <w:autoSpaceDN w:val="0"/>
        <w:adjustRightInd w:val="0"/>
        <w:spacing w:after="0" w:line="240" w:lineRule="auto"/>
        <w:rPr>
          <w:rFonts w:ascii="Bahnschrift" w:hAnsi="Bahnschrift" w:cs="Arial"/>
          <w:b/>
          <w:bCs/>
          <w:color w:val="984806" w:themeColor="accent6" w:themeShade="80"/>
          <w:sz w:val="16"/>
          <w:szCs w:val="16"/>
        </w:rPr>
      </w:pPr>
    </w:p>
    <w:p w:rsidR="00D93977" w:rsidRDefault="00D93977" w:rsidP="00D93977">
      <w:pPr>
        <w:autoSpaceDE w:val="0"/>
        <w:autoSpaceDN w:val="0"/>
        <w:adjustRightInd w:val="0"/>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1  INFORMAÇÕES GERAIS</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Jurídica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Domicílio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das operações e principais atividades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Declaração de conformidade com a legislação e com as normas de contabilidade aplicáveis.</w:t>
      </w:r>
    </w:p>
    <w:p w:rsidR="00D93977" w:rsidRDefault="00D93977" w:rsidP="00D93977">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93977" w:rsidRDefault="00D93977" w:rsidP="00D93977">
      <w:pPr>
        <w:pStyle w:val="PargrafodaLista"/>
        <w:numPr>
          <w:ilvl w:val="0"/>
          <w:numId w:val="26"/>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RESUMO DAS POLÍTICAS CONTÁBEIS SIGNIFICATIVAS </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Bases de mensuração utilizadas;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Novas normas e políticas contábeis alteradas;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Julgamentos pela aplicação das políticas contábeis.</w:t>
      </w:r>
    </w:p>
    <w:p w:rsidR="00D93977" w:rsidRDefault="00D93977" w:rsidP="00D93977">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93977" w:rsidRDefault="00D93977" w:rsidP="00D93977">
      <w:pPr>
        <w:pStyle w:val="PargrafodaLista"/>
        <w:numPr>
          <w:ilvl w:val="0"/>
          <w:numId w:val="26"/>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93977" w:rsidRDefault="00D93977" w:rsidP="00D93977">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93977" w:rsidRDefault="00D93977" w:rsidP="00D93977">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4 OUTRAS INFORMAÇÕES RELEVANTES</w:t>
      </w:r>
    </w:p>
    <w:p w:rsidR="00D93977" w:rsidRDefault="00D93977" w:rsidP="00D93977">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Pr>
          <w:rFonts w:ascii="Bahnschrift" w:hAnsi="Bahnschrift" w:cs="Arial"/>
          <w:b/>
          <w:bCs/>
          <w:color w:val="215868" w:themeColor="accent5" w:themeShade="80"/>
          <w:sz w:val="28"/>
          <w:szCs w:val="28"/>
        </w:rPr>
        <w:t>4.1 Passivos contingentes e compromissos contratuais não reconhecidos;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Arial" w:hAnsi="Arial" w:cs="Arial"/>
          <w:b/>
          <w:bCs/>
          <w:color w:val="215868" w:themeColor="accent5" w:themeShade="80"/>
          <w:sz w:val="24"/>
          <w:szCs w:val="24"/>
        </w:rPr>
        <w:t xml:space="preserve">4.2 Divulgações não financeiras, tais como: os objetivos e políticas de gestão </w:t>
      </w:r>
      <w:r>
        <w:rPr>
          <w:rFonts w:ascii="Bahnschrift" w:hAnsi="Bahnschrift" w:cs="Arial"/>
          <w:b/>
          <w:bCs/>
          <w:color w:val="215868" w:themeColor="accent5" w:themeShade="80"/>
          <w:sz w:val="28"/>
          <w:szCs w:val="28"/>
        </w:rPr>
        <w:t>do risco financeiro da entidade; pressupostos das estimativas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4.3 Reconhecimento de inconformidades que podem afetar a compreensão do usuário sobre o desempenho e o direcionamento das operações da entidade no futuro</w:t>
      </w:r>
    </w:p>
    <w:p w:rsidR="00D93977" w:rsidRDefault="00D93977" w:rsidP="00D93977">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4.4 Ajustes decorrentes de omissões e erros de registro.</w:t>
      </w:r>
    </w:p>
    <w:p w:rsidR="00D93977" w:rsidRDefault="00D93977" w:rsidP="00D93977">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93977" w:rsidRDefault="00D93977" w:rsidP="00D93977">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NOTAS EXPLICATIVAS DO BALANÇO 2019</w:t>
      </w:r>
    </w:p>
    <w:p w:rsidR="00D93977" w:rsidRDefault="00D93977" w:rsidP="00D93977">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93977" w:rsidRDefault="00D93977" w:rsidP="00D93977">
      <w:pPr>
        <w:autoSpaceDE w:val="0"/>
        <w:autoSpaceDN w:val="0"/>
        <w:adjustRightInd w:val="0"/>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BASE DE ELABORAÇÃO E APRESENTAÇÃO DAS DEMONSTRAÇÕES CONTÁBEIS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ORÇAMENTÁRIO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 Previsão da receita versus arrecadação;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2. Detalhamento das receitas e despesas </w:t>
      </w:r>
      <w:proofErr w:type="spellStart"/>
      <w:r>
        <w:rPr>
          <w:rFonts w:ascii="Bahnschrift" w:hAnsi="Bahnschrift" w:cs="Arial"/>
          <w:b/>
          <w:bCs/>
          <w:color w:val="215868" w:themeColor="accent5" w:themeShade="80"/>
          <w:sz w:val="28"/>
          <w:szCs w:val="28"/>
        </w:rPr>
        <w:t>intraorçamentárias</w:t>
      </w:r>
      <w:proofErr w:type="spellEnd"/>
      <w:r>
        <w:rPr>
          <w:rFonts w:ascii="Bahnschrift" w:hAnsi="Bahnschrift" w:cs="Arial"/>
          <w:b/>
          <w:bCs/>
          <w:color w:val="215868" w:themeColor="accent5" w:themeShade="80"/>
          <w:sz w:val="28"/>
          <w:szCs w:val="28"/>
        </w:rPr>
        <w:t>;</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lastRenderedPageBreak/>
        <w:t>3. Utilização do superávit financeiro e da reabertura de créditos especiais e extraordinários;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 Detalhamento da execução das despesas;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do estoque de restos a pagar processados e não processados.</w:t>
      </w:r>
    </w:p>
    <w:p w:rsidR="00D93977" w:rsidRDefault="00D93977" w:rsidP="00D93977">
      <w:pPr>
        <w:spacing w:after="0" w:line="240" w:lineRule="auto"/>
        <w:ind w:left="426" w:hanging="426"/>
        <w:jc w:val="both"/>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7. Caixa e equivalente de caixa;</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8. Créditos a Curto Prazo e a Longo Prazo;</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9. Investimentos RPPS;</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10. Imobilizado;</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11. Intangível;</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12. Fornecedores;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13. Obrigações Trabalhistas, Previdenciárias e Assistenciais a Curto Prazo e a Longo Prazo;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14. Provisões a Curto Prazo e a Longo Prazo;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p>
    <w:p w:rsidR="00D93977" w:rsidRDefault="00D93977" w:rsidP="00D93977">
      <w:pPr>
        <w:spacing w:after="0" w:line="240" w:lineRule="auto"/>
        <w:ind w:left="426" w:hanging="426"/>
        <w:jc w:val="both"/>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16. Redução ao valor recuperável no ativo imobilizado;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17. Baixas de investimento;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18. Constituição ou reversão de provisões;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19. Demais variações, quando relevantes;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 Transferências Financeiras Recebidas e Concedidas;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Retenções tributárias;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Restos a pagar processados e não processados.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DOS FLUXOS DE CAIXA</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Análise Horizontal do Fluxo de Caixa das Atividades Operacionais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24. Análise Horizontal do Fluxo de Caixa das Atividades de Investimento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t>25. Análise Horizontal do Fluxo de Caixa das Atividades de financiamento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5254A5"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NOTAS EXPLICATIVAS À DEMONSTRAÇÃO </w:t>
      </w:r>
      <w:r w:rsidR="005254A5">
        <w:rPr>
          <w:rFonts w:ascii="Bahnschrift" w:hAnsi="Bahnschrift" w:cs="Arial"/>
          <w:b/>
          <w:bCs/>
          <w:color w:val="984806" w:themeColor="accent6" w:themeShade="80"/>
          <w:sz w:val="28"/>
          <w:szCs w:val="28"/>
        </w:rPr>
        <w:t>DAS MUTAÇÕES DO</w:t>
      </w:r>
    </w:p>
    <w:p w:rsidR="00D93977" w:rsidRDefault="00D93977" w:rsidP="005254A5">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PATRIMÔNIO LÍQUIDO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26 Capital/Patrimônio Social;</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 Resultados Acumulados;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 Ajustes dos exercícios anteriores;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 Ajustes de avaliação patrimonial.</w:t>
      </w:r>
    </w:p>
    <w:p w:rsidR="00D93977" w:rsidRDefault="00D93977" w:rsidP="00D93977">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CONSIDERAÇÕES FINAIS</w:t>
      </w: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01157C" w:rsidRDefault="0001157C"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AC2E48" w:rsidRPr="00D93977" w:rsidRDefault="00B27680" w:rsidP="00AC2E48">
      <w:pPr>
        <w:autoSpaceDE w:val="0"/>
        <w:autoSpaceDN w:val="0"/>
        <w:adjustRightInd w:val="0"/>
        <w:spacing w:line="240" w:lineRule="auto"/>
        <w:jc w:val="right"/>
        <w:rPr>
          <w:rFonts w:ascii="Bahnschrift" w:hAnsi="Bahnschrift" w:cs="Arial"/>
          <w:b/>
          <w:color w:val="000000" w:themeColor="text1"/>
          <w:sz w:val="44"/>
          <w:szCs w:val="52"/>
        </w:rPr>
      </w:pPr>
      <w:r w:rsidRPr="00D93977">
        <w:rPr>
          <w:rFonts w:ascii="Bahnschrift" w:hAnsi="Bahnschrift" w:cs="Arial"/>
          <w:b/>
          <w:color w:val="000000" w:themeColor="text1"/>
          <w:sz w:val="44"/>
          <w:szCs w:val="52"/>
        </w:rPr>
        <w:t>APRESENTAÇÃO DAS NOTAS EXPLICATIVAS</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01157C" w:rsidRPr="00116D9A" w:rsidRDefault="0001157C" w:rsidP="00807064">
      <w:pPr>
        <w:autoSpaceDE w:val="0"/>
        <w:autoSpaceDN w:val="0"/>
        <w:adjustRightInd w:val="0"/>
        <w:spacing w:after="0" w:line="240" w:lineRule="auto"/>
        <w:rPr>
          <w:rFonts w:ascii="Arial" w:hAnsi="Arial" w:cs="Arial"/>
          <w:b/>
          <w:bCs/>
          <w:color w:val="215868" w:themeColor="accent5" w:themeShade="80"/>
          <w:sz w:val="24"/>
          <w:szCs w:val="24"/>
        </w:rPr>
      </w:pPr>
    </w:p>
    <w:p w:rsidR="00D93977" w:rsidRDefault="00D93977" w:rsidP="00D93977">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 xml:space="preserve">Em 2019 o Município de </w:t>
      </w:r>
      <w:r w:rsidR="00E859C7">
        <w:rPr>
          <w:rFonts w:ascii="Segoe Script" w:hAnsi="Segoe Script" w:cs="Arial"/>
          <w:b/>
          <w:bCs/>
          <w:i/>
          <w:color w:val="E36C0A" w:themeColor="accent6" w:themeShade="BF"/>
          <w:sz w:val="40"/>
          <w:szCs w:val="40"/>
        </w:rPr>
        <w:t>Santa Terezinha do Progresso</w:t>
      </w:r>
      <w:r>
        <w:rPr>
          <w:rFonts w:ascii="Segoe Script" w:hAnsi="Segoe Script" w:cs="Arial"/>
          <w:b/>
          <w:bCs/>
          <w:i/>
          <w:color w:val="E36C0A" w:themeColor="accent6" w:themeShade="BF"/>
          <w:sz w:val="40"/>
          <w:szCs w:val="40"/>
        </w:rPr>
        <w:t xml:space="preserve"> completou 24 anos de emancipação.</w:t>
      </w:r>
    </w:p>
    <w:p w:rsidR="003C4CC7" w:rsidRDefault="003C4CC7"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01157C" w:rsidRDefault="0001157C"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3C4CC7" w:rsidRPr="00116D9A" w:rsidRDefault="003C4CC7"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1 INFORMAÇÕES GERAIS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Prefeito</w:t>
      </w:r>
      <w:r w:rsidR="00AF7E71">
        <w:rPr>
          <w:rFonts w:ascii="Arial" w:hAnsi="Arial" w:cs="Arial"/>
          <w:b/>
          <w:bCs/>
          <w:color w:val="215868" w:themeColor="accent5" w:themeShade="80"/>
          <w:sz w:val="24"/>
          <w:szCs w:val="24"/>
        </w:rPr>
        <w:t xml:space="preserve"> </w:t>
      </w:r>
      <w:r>
        <w:rPr>
          <w:rFonts w:ascii="Arial" w:hAnsi="Arial" w:cs="Arial"/>
          <w:b/>
          <w:bCs/>
          <w:color w:val="215868" w:themeColor="accent5" w:themeShade="80"/>
          <w:sz w:val="24"/>
          <w:szCs w:val="24"/>
        </w:rPr>
        <w:t xml:space="preserve">(a):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Microrregião:</w:t>
      </w:r>
      <w:r>
        <w:rPr>
          <w:rFonts w:ascii="Arial" w:hAnsi="Arial" w:cs="Arial"/>
          <w:bCs/>
          <w:sz w:val="24"/>
          <w:szCs w:val="24"/>
        </w:rPr>
        <w:t xml:space="preserve"> Microrregião do Oeste de Santa Catarina</w:t>
      </w: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Aniversário:</w:t>
      </w:r>
      <w:r>
        <w:rPr>
          <w:rFonts w:ascii="Arial" w:hAnsi="Arial" w:cs="Arial"/>
          <w:bCs/>
          <w:sz w:val="24"/>
          <w:szCs w:val="24"/>
        </w:rPr>
        <w:t> 19/07</w:t>
      </w: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Habitantes:</w:t>
      </w:r>
      <w:r>
        <w:rPr>
          <w:rFonts w:ascii="Arial" w:hAnsi="Arial" w:cs="Arial"/>
          <w:bCs/>
          <w:sz w:val="24"/>
          <w:szCs w:val="24"/>
        </w:rPr>
        <w:t xml:space="preserve">  2.428 (IBGE/2019)</w:t>
      </w: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Eleitores:</w:t>
      </w:r>
      <w:r>
        <w:rPr>
          <w:rFonts w:ascii="Arial" w:hAnsi="Arial" w:cs="Arial"/>
          <w:bCs/>
          <w:sz w:val="24"/>
          <w:szCs w:val="24"/>
        </w:rPr>
        <w:t xml:space="preserve">  2.368 (TSE/2019)</w:t>
      </w: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PIB:</w:t>
      </w:r>
      <w:r>
        <w:rPr>
          <w:rFonts w:ascii="Arial" w:hAnsi="Arial" w:cs="Arial"/>
          <w:bCs/>
          <w:sz w:val="24"/>
          <w:szCs w:val="24"/>
        </w:rPr>
        <w:t xml:space="preserve"> 46.815.000,00 (IBGE/2016)</w:t>
      </w:r>
    </w:p>
    <w:p w:rsidR="008A3226" w:rsidRPr="00116D9A" w:rsidRDefault="008A3226" w:rsidP="00807064">
      <w:pPr>
        <w:autoSpaceDE w:val="0"/>
        <w:autoSpaceDN w:val="0"/>
        <w:adjustRightInd w:val="0"/>
        <w:spacing w:after="0" w:line="240" w:lineRule="auto"/>
        <w:rPr>
          <w:rFonts w:ascii="Arial" w:hAnsi="Arial" w:cs="Arial"/>
          <w:bCs/>
          <w:sz w:val="24"/>
          <w:szCs w:val="24"/>
        </w:rPr>
      </w:pPr>
    </w:p>
    <w:p w:rsidR="001A008C" w:rsidRPr="00116D9A" w:rsidRDefault="001A008C" w:rsidP="00807064">
      <w:pPr>
        <w:autoSpaceDE w:val="0"/>
        <w:autoSpaceDN w:val="0"/>
        <w:adjustRightInd w:val="0"/>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Jurídica da Entidade</w:t>
      </w:r>
    </w:p>
    <w:p w:rsidR="00F373E8" w:rsidRPr="00116D9A" w:rsidRDefault="00F373E8" w:rsidP="00F373E8">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 Município de </w:t>
      </w:r>
      <w:r w:rsidR="00EC7B5A">
        <w:rPr>
          <w:rFonts w:ascii="Arial" w:hAnsi="Arial" w:cs="Arial"/>
          <w:bCs/>
          <w:sz w:val="24"/>
          <w:szCs w:val="24"/>
        </w:rPr>
        <w:t>Santa Terezinha do Progresso</w:t>
      </w:r>
      <w:r w:rsidRPr="00116D9A">
        <w:rPr>
          <w:rFonts w:ascii="Arial" w:hAnsi="Arial" w:cs="Arial"/>
          <w:bCs/>
          <w:sz w:val="24"/>
          <w:szCs w:val="24"/>
        </w:rPr>
        <w:t xml:space="preserve">, SC, é pessoa jurídica de direito público, CNPJ </w:t>
      </w:r>
      <w:r w:rsidR="00EC7B5A" w:rsidRPr="00EC7B5A">
        <w:rPr>
          <w:rFonts w:ascii="Arial" w:hAnsi="Arial" w:cs="Arial"/>
          <w:color w:val="000000" w:themeColor="text1"/>
          <w:shd w:val="clear" w:color="auto" w:fill="FFFFFF"/>
        </w:rPr>
        <w:t>01.612.847/0001-90</w:t>
      </w:r>
      <w:r w:rsidRPr="00116D9A">
        <w:rPr>
          <w:rFonts w:ascii="Arial" w:hAnsi="Arial" w:cs="Arial"/>
          <w:bCs/>
          <w:sz w:val="24"/>
          <w:szCs w:val="24"/>
        </w:rPr>
        <w:t>, com natureza jurídica 124-4 Município, na forma de Ente Federativo.</w:t>
      </w:r>
      <w:r w:rsidR="00C86B2B">
        <w:rPr>
          <w:rFonts w:ascii="Arial" w:hAnsi="Arial" w:cs="Arial"/>
          <w:bCs/>
          <w:sz w:val="24"/>
          <w:szCs w:val="24"/>
        </w:rPr>
        <w:t xml:space="preserve"> </w:t>
      </w:r>
      <w:r w:rsidR="00C86B2B" w:rsidRPr="00B5478B">
        <w:rPr>
          <w:rFonts w:ascii="Arial" w:hAnsi="Arial" w:cs="Arial"/>
          <w:bCs/>
          <w:sz w:val="24"/>
          <w:szCs w:val="24"/>
        </w:rPr>
        <w:t xml:space="preserve">O município iniciou suas atividades em </w:t>
      </w:r>
      <w:r w:rsidR="00C86B2B">
        <w:rPr>
          <w:rFonts w:ascii="Arial" w:hAnsi="Arial" w:cs="Arial"/>
          <w:bCs/>
          <w:sz w:val="24"/>
          <w:szCs w:val="24"/>
        </w:rPr>
        <w:t>19</w:t>
      </w:r>
      <w:r w:rsidR="00C86B2B" w:rsidRPr="00B5478B">
        <w:rPr>
          <w:rFonts w:ascii="Arial" w:hAnsi="Arial" w:cs="Arial"/>
          <w:bCs/>
          <w:sz w:val="24"/>
          <w:szCs w:val="24"/>
        </w:rPr>
        <w:t xml:space="preserve"> de </w:t>
      </w:r>
      <w:r w:rsidR="00C86B2B">
        <w:rPr>
          <w:rFonts w:ascii="Arial" w:hAnsi="Arial" w:cs="Arial"/>
          <w:bCs/>
          <w:sz w:val="24"/>
          <w:szCs w:val="24"/>
        </w:rPr>
        <w:t>julho</w:t>
      </w:r>
      <w:r w:rsidR="00C86B2B" w:rsidRPr="00B5478B">
        <w:rPr>
          <w:rFonts w:ascii="Arial" w:hAnsi="Arial" w:cs="Arial"/>
          <w:bCs/>
          <w:sz w:val="24"/>
          <w:szCs w:val="24"/>
        </w:rPr>
        <w:t xml:space="preserve"> de 19</w:t>
      </w:r>
      <w:r w:rsidR="00C86B2B">
        <w:rPr>
          <w:rFonts w:ascii="Arial" w:hAnsi="Arial" w:cs="Arial"/>
          <w:bCs/>
          <w:sz w:val="24"/>
          <w:szCs w:val="24"/>
        </w:rPr>
        <w:t>95</w:t>
      </w:r>
      <w:r w:rsidR="00C86B2B" w:rsidRPr="00B5478B">
        <w:rPr>
          <w:rFonts w:ascii="Arial" w:hAnsi="Arial" w:cs="Arial"/>
          <w:bCs/>
          <w:sz w:val="24"/>
          <w:szCs w:val="24"/>
        </w:rPr>
        <w:t>.</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p>
    <w:p w:rsidR="001A008C" w:rsidRPr="00116D9A" w:rsidRDefault="001A008C"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Domicílio da Entidade</w:t>
      </w:r>
    </w:p>
    <w:p w:rsidR="00F373E8" w:rsidRPr="00116D9A" w:rsidRDefault="00F373E8" w:rsidP="00F373E8">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Tem sua sede </w:t>
      </w:r>
      <w:r w:rsidR="00EC7B5A">
        <w:rPr>
          <w:rFonts w:ascii="Arial" w:hAnsi="Arial" w:cs="Arial"/>
          <w:bCs/>
          <w:sz w:val="24"/>
          <w:szCs w:val="24"/>
        </w:rPr>
        <w:t>n</w:t>
      </w:r>
      <w:r w:rsidRPr="00116D9A">
        <w:rPr>
          <w:rFonts w:ascii="Arial" w:hAnsi="Arial" w:cs="Arial"/>
          <w:bCs/>
          <w:sz w:val="24"/>
          <w:szCs w:val="24"/>
        </w:rPr>
        <w:t xml:space="preserve">o endereço </w:t>
      </w:r>
      <w:r w:rsidR="00EC7B5A">
        <w:rPr>
          <w:rFonts w:ascii="Arial" w:hAnsi="Arial" w:cs="Arial"/>
          <w:bCs/>
          <w:sz w:val="24"/>
          <w:szCs w:val="24"/>
        </w:rPr>
        <w:t>Avenida Tancredo Neves</w:t>
      </w:r>
      <w:r w:rsidRPr="00116D9A">
        <w:rPr>
          <w:rFonts w:ascii="Arial" w:hAnsi="Arial" w:cs="Arial"/>
          <w:bCs/>
          <w:sz w:val="24"/>
          <w:szCs w:val="24"/>
        </w:rPr>
        <w:t xml:space="preserve">, nº </w:t>
      </w:r>
      <w:r w:rsidR="00EC7B5A">
        <w:rPr>
          <w:rFonts w:ascii="Arial" w:hAnsi="Arial" w:cs="Arial"/>
          <w:bCs/>
          <w:sz w:val="24"/>
          <w:szCs w:val="24"/>
        </w:rPr>
        <w:t>337</w:t>
      </w:r>
      <w:r w:rsidRPr="00116D9A">
        <w:rPr>
          <w:rFonts w:ascii="Arial" w:hAnsi="Arial" w:cs="Arial"/>
          <w:bCs/>
          <w:sz w:val="24"/>
          <w:szCs w:val="24"/>
        </w:rPr>
        <w:t xml:space="preserve">, Centro, </w:t>
      </w:r>
      <w:r w:rsidR="00EC7B5A">
        <w:rPr>
          <w:rFonts w:ascii="Arial" w:hAnsi="Arial" w:cs="Arial"/>
          <w:bCs/>
          <w:sz w:val="24"/>
          <w:szCs w:val="24"/>
        </w:rPr>
        <w:t>Santa Terezinha do Progresso</w:t>
      </w:r>
      <w:r w:rsidRPr="00116D9A">
        <w:rPr>
          <w:rFonts w:ascii="Arial" w:hAnsi="Arial" w:cs="Arial"/>
          <w:bCs/>
          <w:sz w:val="24"/>
          <w:szCs w:val="24"/>
        </w:rPr>
        <w:t>, CEP. 89.</w:t>
      </w:r>
      <w:r w:rsidR="00EC7B5A">
        <w:rPr>
          <w:rFonts w:ascii="Arial" w:hAnsi="Arial" w:cs="Arial"/>
          <w:bCs/>
          <w:sz w:val="24"/>
          <w:szCs w:val="24"/>
        </w:rPr>
        <w:t>983</w:t>
      </w:r>
      <w:r w:rsidRPr="00116D9A">
        <w:rPr>
          <w:rFonts w:ascii="Arial" w:hAnsi="Arial" w:cs="Arial"/>
          <w:bCs/>
          <w:sz w:val="24"/>
          <w:szCs w:val="24"/>
        </w:rPr>
        <w:t xml:space="preserve">-000, Estado de Santa Catarina. </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116D9A"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lastRenderedPageBreak/>
        <w:t>Natureza das operações e principais atividades da entidade</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A atividade econômica principal é Administração Pública em Geral, CNAE 84.11-6-00.  </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p>
    <w:p w:rsidR="001D184E" w:rsidRPr="00116D9A" w:rsidRDefault="001D184E" w:rsidP="001D184E">
      <w:pPr>
        <w:autoSpaceDE w:val="0"/>
        <w:autoSpaceDN w:val="0"/>
        <w:adjustRightInd w:val="0"/>
        <w:spacing w:after="0" w:line="240" w:lineRule="auto"/>
        <w:jc w:val="both"/>
        <w:rPr>
          <w:rFonts w:ascii="Arial" w:hAnsi="Arial" w:cs="Arial"/>
          <w:b/>
          <w:bCs/>
          <w:sz w:val="24"/>
          <w:szCs w:val="24"/>
        </w:rPr>
      </w:pPr>
      <w:r w:rsidRPr="00116D9A">
        <w:rPr>
          <w:rFonts w:ascii="Arial" w:hAnsi="Arial" w:cs="Arial"/>
          <w:b/>
          <w:bCs/>
          <w:sz w:val="24"/>
          <w:szCs w:val="24"/>
        </w:rPr>
        <w:t>Fazem parte da sua estrutura Organizacional as Secretarias:</w:t>
      </w:r>
    </w:p>
    <w:p w:rsidR="001D184E" w:rsidRPr="00B566AB" w:rsidRDefault="00E910C5" w:rsidP="001D184E">
      <w:pPr>
        <w:numPr>
          <w:ilvl w:val="0"/>
          <w:numId w:val="8"/>
        </w:numPr>
        <w:shd w:val="clear" w:color="auto" w:fill="FFFFFF"/>
        <w:spacing w:after="0" w:line="240" w:lineRule="auto"/>
        <w:ind w:left="0" w:firstLine="0"/>
        <w:rPr>
          <w:rFonts w:ascii="Arial" w:hAnsi="Arial" w:cs="Arial"/>
          <w:bCs/>
          <w:sz w:val="24"/>
          <w:szCs w:val="24"/>
        </w:rPr>
      </w:pPr>
      <w:hyperlink r:id="rId10" w:history="1">
        <w:r w:rsidR="001D184E" w:rsidRPr="00116D9A">
          <w:rPr>
            <w:rFonts w:ascii="Arial" w:hAnsi="Arial" w:cs="Arial"/>
            <w:bCs/>
            <w:sz w:val="24"/>
            <w:szCs w:val="24"/>
          </w:rPr>
          <w:t>Gabinete do Prefeito</w:t>
        </w:r>
      </w:hyperlink>
    </w:p>
    <w:p w:rsidR="001D184E" w:rsidRDefault="001D184E" w:rsidP="001D184E">
      <w:pPr>
        <w:pStyle w:val="PargrafodaLista"/>
        <w:numPr>
          <w:ilvl w:val="0"/>
          <w:numId w:val="8"/>
        </w:numPr>
        <w:shd w:val="clear" w:color="auto" w:fill="FFFFFF"/>
        <w:spacing w:after="0" w:line="240" w:lineRule="auto"/>
        <w:ind w:hanging="720"/>
        <w:rPr>
          <w:rFonts w:ascii="Arial" w:hAnsi="Arial" w:cs="Arial"/>
          <w:bCs/>
          <w:sz w:val="24"/>
          <w:szCs w:val="24"/>
        </w:rPr>
      </w:pPr>
      <w:r>
        <w:rPr>
          <w:rFonts w:ascii="Arial" w:hAnsi="Arial" w:cs="Arial"/>
          <w:bCs/>
          <w:sz w:val="24"/>
          <w:szCs w:val="24"/>
        </w:rPr>
        <w:t>Departamento de Esportes</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 xml:space="preserve">Secretaria de </w:t>
      </w:r>
      <w:r>
        <w:rPr>
          <w:rFonts w:ascii="Arial" w:hAnsi="Arial" w:cs="Arial"/>
          <w:bCs/>
          <w:sz w:val="24"/>
          <w:szCs w:val="24"/>
        </w:rPr>
        <w:t xml:space="preserve">Gestão e Desenvolvimento Econômico </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Secretaria de Educação</w:t>
      </w:r>
    </w:p>
    <w:p w:rsidR="001D184E" w:rsidRPr="00116D9A" w:rsidRDefault="00E910C5" w:rsidP="001D184E">
      <w:pPr>
        <w:numPr>
          <w:ilvl w:val="0"/>
          <w:numId w:val="8"/>
        </w:numPr>
        <w:shd w:val="clear" w:color="auto" w:fill="FFFFFF"/>
        <w:spacing w:after="0" w:line="240" w:lineRule="auto"/>
        <w:ind w:left="0" w:firstLine="0"/>
        <w:rPr>
          <w:rFonts w:ascii="Arial" w:hAnsi="Arial" w:cs="Arial"/>
          <w:bCs/>
          <w:sz w:val="24"/>
          <w:szCs w:val="24"/>
        </w:rPr>
      </w:pPr>
      <w:hyperlink r:id="rId11" w:history="1">
        <w:r w:rsidR="001D184E">
          <w:rPr>
            <w:rFonts w:ascii="Arial" w:hAnsi="Arial" w:cs="Arial"/>
            <w:bCs/>
            <w:sz w:val="24"/>
            <w:szCs w:val="24"/>
          </w:rPr>
          <w:t xml:space="preserve">Secretaria de </w:t>
        </w:r>
        <w:r w:rsidR="001D184E" w:rsidRPr="00116D9A">
          <w:rPr>
            <w:rFonts w:ascii="Arial" w:hAnsi="Arial" w:cs="Arial"/>
            <w:bCs/>
            <w:sz w:val="24"/>
            <w:szCs w:val="24"/>
          </w:rPr>
          <w:t>Infraestrutura</w:t>
        </w:r>
      </w:hyperlink>
    </w:p>
    <w:p w:rsidR="001D184E" w:rsidRDefault="00E910C5" w:rsidP="001D184E">
      <w:pPr>
        <w:numPr>
          <w:ilvl w:val="0"/>
          <w:numId w:val="8"/>
        </w:numPr>
        <w:shd w:val="clear" w:color="auto" w:fill="FFFFFF"/>
        <w:spacing w:after="0" w:line="240" w:lineRule="auto"/>
        <w:ind w:left="0" w:firstLine="0"/>
        <w:rPr>
          <w:rFonts w:ascii="Arial" w:hAnsi="Arial" w:cs="Arial"/>
          <w:bCs/>
          <w:sz w:val="24"/>
          <w:szCs w:val="24"/>
        </w:rPr>
      </w:pPr>
      <w:hyperlink r:id="rId12" w:history="1">
        <w:r w:rsidR="001D184E">
          <w:rPr>
            <w:rFonts w:ascii="Arial" w:hAnsi="Arial" w:cs="Arial"/>
            <w:bCs/>
            <w:sz w:val="24"/>
            <w:szCs w:val="24"/>
          </w:rPr>
          <w:t>Fundo Municipal de</w:t>
        </w:r>
        <w:r w:rsidR="001D184E" w:rsidRPr="00116D9A">
          <w:rPr>
            <w:rFonts w:ascii="Arial" w:hAnsi="Arial" w:cs="Arial"/>
            <w:bCs/>
            <w:sz w:val="24"/>
            <w:szCs w:val="24"/>
          </w:rPr>
          <w:t xml:space="preserve"> Assistência Social</w:t>
        </w:r>
      </w:hyperlink>
    </w:p>
    <w:p w:rsidR="001D184E"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 xml:space="preserve">Fundo Municipal da Criança e Adolescente </w:t>
      </w:r>
    </w:p>
    <w:p w:rsidR="00596CE7" w:rsidRDefault="00596CE7"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de Desenvolvimento da Agropecuária</w:t>
      </w:r>
    </w:p>
    <w:p w:rsidR="001D184E"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Municipal de Saúde</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Câmara de Vereadores</w:t>
      </w:r>
    </w:p>
    <w:p w:rsidR="001D184E" w:rsidRDefault="001D184E" w:rsidP="001D184E">
      <w:pPr>
        <w:shd w:val="clear" w:color="auto" w:fill="FFFFFF"/>
        <w:spacing w:after="0" w:line="240" w:lineRule="auto"/>
        <w:rPr>
          <w:rFonts w:ascii="Arial" w:hAnsi="Arial" w:cs="Arial"/>
          <w:bCs/>
          <w:sz w:val="24"/>
          <w:szCs w:val="24"/>
        </w:rPr>
      </w:pPr>
    </w:p>
    <w:p w:rsidR="00155D1F" w:rsidRPr="00116D9A" w:rsidRDefault="00155D1F" w:rsidP="001D184E">
      <w:pPr>
        <w:shd w:val="clear" w:color="auto" w:fill="FFFFFF"/>
        <w:spacing w:after="0" w:line="240" w:lineRule="auto"/>
        <w:rPr>
          <w:rFonts w:ascii="Arial" w:hAnsi="Arial" w:cs="Arial"/>
          <w:bCs/>
          <w:sz w:val="24"/>
          <w:szCs w:val="24"/>
        </w:rPr>
      </w:pPr>
    </w:p>
    <w:p w:rsidR="008A3226" w:rsidRPr="00116D9A" w:rsidRDefault="00E910C5"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Pr>
          <w:rFonts w:ascii="Arial" w:hAnsi="Arial" w:cs="Arial"/>
          <w:b/>
          <w:bCs/>
          <w:noProof/>
          <w:color w:val="215868" w:themeColor="accent5" w:themeShade="80"/>
          <w:sz w:val="24"/>
          <w:szCs w:val="24"/>
          <w:lang w:eastAsia="pt-BR"/>
        </w:rPr>
        <w:pict>
          <v:roundrect id="Retângulo Arredondado 2" o:spid="_x0000_s1026" style="position:absolute;left:0;text-align:left;margin-left:-14.55pt;margin-top:275.4pt;width:489.75pt;height:428.4pt;z-index:251658240;visibility:visible;mso-position-horizontal-relative:margin;mso-position-vertical-relative:margin;mso-width-relative:margin;mso-height-relative:margin;v-text-anchor:middle" arcsize="10923f" fillcolor="#4bacc6 [3208]" strokecolor="white [3212]" strokeweight="2pt">
            <v:textbox style="mso-next-textbox:#Retângulo Arredondado 2">
              <w:txbxContent>
                <w:p w:rsidR="00E910C5" w:rsidRDefault="00E910C5" w:rsidP="00A9727A">
                  <w:pPr>
                    <w:autoSpaceDE w:val="0"/>
                    <w:autoSpaceDN w:val="0"/>
                    <w:adjustRightInd w:val="0"/>
                    <w:spacing w:line="240" w:lineRule="auto"/>
                    <w:jc w:val="center"/>
                    <w:rPr>
                      <w:rFonts w:ascii="Arial" w:hAnsi="Arial" w:cs="Arial"/>
                      <w:b/>
                      <w:bCs/>
                      <w:color w:val="FFFFFF" w:themeColor="background1"/>
                      <w:sz w:val="26"/>
                      <w:szCs w:val="26"/>
                    </w:rPr>
                  </w:pPr>
                  <w:r>
                    <w:rPr>
                      <w:rFonts w:ascii="Arial" w:hAnsi="Arial" w:cs="Arial"/>
                      <w:b/>
                      <w:bCs/>
                      <w:color w:val="FFFFFF" w:themeColor="background1"/>
                      <w:sz w:val="26"/>
                      <w:szCs w:val="26"/>
                    </w:rPr>
                    <w:t>DECLARAÇÃO COM RESSALVAS</w:t>
                  </w:r>
                </w:p>
                <w:p w:rsidR="00E910C5" w:rsidRDefault="00E910C5" w:rsidP="00A9727A">
                  <w:pPr>
                    <w:autoSpaceDE w:val="0"/>
                    <w:autoSpaceDN w:val="0"/>
                    <w:adjustRightInd w:val="0"/>
                    <w:spacing w:line="240" w:lineRule="auto"/>
                    <w:jc w:val="both"/>
                    <w:rPr>
                      <w:rFonts w:ascii="Arial" w:hAnsi="Arial" w:cs="Arial"/>
                      <w:color w:val="FFFFFF" w:themeColor="background1"/>
                      <w:sz w:val="26"/>
                      <w:szCs w:val="26"/>
                    </w:rPr>
                  </w:pPr>
                  <w:r>
                    <w:rPr>
                      <w:rFonts w:ascii="Arial" w:hAnsi="Arial" w:cs="Arial"/>
                      <w:color w:val="FFFFFF" w:themeColor="background1"/>
                      <w:sz w:val="26"/>
                      <w:szCs w:val="26"/>
                    </w:rPr>
                    <w:t>Com base na análise dos Demonstrativos Contábeis, DECLARO que os mesmos REFLETEM ADEQUADAMENTE a situação ORÇAMENTÁRIA, FINANCEIRA e PATRIMONIAL. As ressalvas se referem a situação Patrimonial.</w:t>
                  </w:r>
                </w:p>
                <w:p w:rsidR="00E910C5" w:rsidRDefault="00E910C5" w:rsidP="00A9727A">
                  <w:pPr>
                    <w:pStyle w:val="PargrafodaLista"/>
                    <w:numPr>
                      <w:ilvl w:val="0"/>
                      <w:numId w:val="23"/>
                    </w:numPr>
                    <w:autoSpaceDE w:val="0"/>
                    <w:autoSpaceDN w:val="0"/>
                    <w:adjustRightInd w:val="0"/>
                    <w:spacing w:line="240" w:lineRule="auto"/>
                    <w:jc w:val="both"/>
                    <w:rPr>
                      <w:rFonts w:ascii="Arial" w:hAnsi="Arial" w:cs="Arial"/>
                      <w:color w:val="FFFFFF" w:themeColor="background1"/>
                      <w:sz w:val="26"/>
                      <w:szCs w:val="26"/>
                    </w:rPr>
                  </w:pPr>
                  <w:r>
                    <w:rPr>
                      <w:rFonts w:ascii="Arial" w:hAnsi="Arial" w:cs="Arial"/>
                      <w:color w:val="FFFFFF" w:themeColor="background1"/>
                      <w:sz w:val="26"/>
                      <w:szCs w:val="26"/>
                    </w:rPr>
                    <w:t>As restrições de ordem Contábeis do exercício de 2018, considerando o grau de relevância e a materialidade dos valores envolvidos são:</w:t>
                  </w:r>
                </w:p>
                <w:p w:rsidR="00E910C5" w:rsidRPr="0029438D" w:rsidRDefault="00E910C5" w:rsidP="00A9727A">
                  <w:pPr>
                    <w:pStyle w:val="PargrafodaLista"/>
                    <w:numPr>
                      <w:ilvl w:val="0"/>
                      <w:numId w:val="24"/>
                    </w:numPr>
                    <w:autoSpaceDE w:val="0"/>
                    <w:autoSpaceDN w:val="0"/>
                    <w:adjustRightInd w:val="0"/>
                    <w:spacing w:line="240" w:lineRule="auto"/>
                    <w:jc w:val="both"/>
                    <w:rPr>
                      <w:rFonts w:ascii="Arial" w:hAnsi="Arial" w:cs="Arial"/>
                      <w:color w:val="FF0000"/>
                      <w:sz w:val="26"/>
                      <w:szCs w:val="26"/>
                    </w:rPr>
                  </w:pPr>
                  <w:r w:rsidRPr="0029438D">
                    <w:rPr>
                      <w:rFonts w:ascii="Arial" w:hAnsi="Arial" w:cs="Arial"/>
                      <w:color w:val="FF0000"/>
                      <w:sz w:val="26"/>
                      <w:szCs w:val="26"/>
                    </w:rPr>
                    <w:t>não contabilização do controle de estoque;</w:t>
                  </w:r>
                </w:p>
                <w:p w:rsidR="00E910C5" w:rsidRPr="0029438D" w:rsidRDefault="00E910C5" w:rsidP="00A9727A">
                  <w:pPr>
                    <w:pStyle w:val="PargrafodaLista"/>
                    <w:numPr>
                      <w:ilvl w:val="0"/>
                      <w:numId w:val="24"/>
                    </w:numPr>
                    <w:autoSpaceDE w:val="0"/>
                    <w:autoSpaceDN w:val="0"/>
                    <w:adjustRightInd w:val="0"/>
                    <w:spacing w:line="240" w:lineRule="auto"/>
                    <w:jc w:val="both"/>
                    <w:rPr>
                      <w:rFonts w:ascii="Arial" w:hAnsi="Arial" w:cs="Arial"/>
                      <w:color w:val="FF0000"/>
                      <w:sz w:val="26"/>
                      <w:szCs w:val="26"/>
                    </w:rPr>
                  </w:pPr>
                  <w:r w:rsidRPr="0029438D">
                    <w:rPr>
                      <w:rFonts w:ascii="Arial" w:hAnsi="Arial" w:cs="Arial"/>
                      <w:color w:val="FF0000"/>
                      <w:sz w:val="26"/>
                      <w:szCs w:val="26"/>
                    </w:rPr>
                    <w:t>não contabilização das demandas judiciais.</w:t>
                  </w:r>
                </w:p>
                <w:p w:rsidR="00E910C5" w:rsidRDefault="00E910C5" w:rsidP="00A9727A">
                  <w:pPr>
                    <w:autoSpaceDE w:val="0"/>
                    <w:autoSpaceDN w:val="0"/>
                    <w:adjustRightInd w:val="0"/>
                    <w:spacing w:line="240" w:lineRule="auto"/>
                    <w:ind w:left="720"/>
                    <w:jc w:val="both"/>
                    <w:rPr>
                      <w:rFonts w:ascii="Arial" w:hAnsi="Arial" w:cs="Arial"/>
                      <w:bCs/>
                      <w:color w:val="FFFFFF" w:themeColor="background1"/>
                      <w:sz w:val="26"/>
                      <w:szCs w:val="26"/>
                    </w:rPr>
                  </w:pPr>
                  <w:r>
                    <w:rPr>
                      <w:rFonts w:ascii="Arial" w:hAnsi="Arial" w:cs="Arial"/>
                      <w:color w:val="FFFFFF" w:themeColor="background1"/>
                      <w:sz w:val="26"/>
                      <w:szCs w:val="26"/>
                    </w:rPr>
                    <w:t>A falta desses registros não causou nenhum prejuízo ao Ente Público. O registro não foi realizado tendo em vista o não recebimento pelo setor contábil, de documentos oficiais dos setores responsáveis.</w:t>
                  </w:r>
                  <w:r>
                    <w:rPr>
                      <w:rFonts w:ascii="Arial" w:hAnsi="Arial" w:cs="Arial"/>
                      <w:bCs/>
                      <w:color w:val="FFFFFF" w:themeColor="background1"/>
                      <w:sz w:val="26"/>
                      <w:szCs w:val="26"/>
                    </w:rPr>
                    <w:t xml:space="preserve"> Como alguns controles estão sendo implementados pelo Ente, contas como estoque, passivo contingentes, entre outras situações, não estão com valores registrados nas Demonstrações contábeis;</w:t>
                  </w:r>
                </w:p>
                <w:p w:rsidR="00E910C5" w:rsidRDefault="00E910C5" w:rsidP="00A9727A">
                  <w:pPr>
                    <w:pStyle w:val="PargrafodaLista"/>
                    <w:numPr>
                      <w:ilvl w:val="0"/>
                      <w:numId w:val="25"/>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As Notas Explicativas acompanham as Demonstrações Contábeis e foram elaboradas buscando atender a legislação vigente;</w:t>
                  </w:r>
                </w:p>
                <w:p w:rsidR="00E910C5" w:rsidRDefault="00E910C5" w:rsidP="00A9727A">
                  <w:pPr>
                    <w:pStyle w:val="PargrafodaLista"/>
                    <w:numPr>
                      <w:ilvl w:val="0"/>
                      <w:numId w:val="25"/>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E910C5" w:rsidRPr="00430C14" w:rsidRDefault="00E910C5" w:rsidP="003A0F1D">
                  <w:pPr>
                    <w:jc w:val="center"/>
                    <w:rPr>
                      <w:color w:val="FFFFFF" w:themeColor="background1"/>
                    </w:rPr>
                  </w:pPr>
                </w:p>
              </w:txbxContent>
            </v:textbox>
            <w10:wrap type="square" anchorx="margin" anchory="margin"/>
          </v:roundrect>
        </w:pict>
      </w:r>
      <w:r w:rsidR="008A3226" w:rsidRPr="00116D9A">
        <w:rPr>
          <w:rFonts w:ascii="Arial" w:hAnsi="Arial" w:cs="Arial"/>
          <w:b/>
          <w:bCs/>
          <w:color w:val="215868" w:themeColor="accent5" w:themeShade="80"/>
          <w:sz w:val="24"/>
          <w:szCs w:val="24"/>
        </w:rPr>
        <w:t>Declaração de conformidade com a legislação e com as normas de contabilidade aplicáveis</w:t>
      </w:r>
    </w:p>
    <w:p w:rsidR="001D30D3" w:rsidRDefault="001D30D3"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94F2D" w:rsidRDefault="00594F2D"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A3226" w:rsidRPr="00116D9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RESUMO DAS POLÍTICAS CONTÁBEIS SIGNIFICATIVAS </w:t>
      </w:r>
    </w:p>
    <w:p w:rsidR="00791982" w:rsidRDefault="00791982"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D30D3" w:rsidRPr="00116D9A" w:rsidRDefault="001D30D3"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Bases de mensuração utilizadas</w:t>
      </w: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7350FD"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Ativo</w:t>
      </w:r>
      <w:r w:rsidRPr="00116D9A">
        <w:rPr>
          <w:rFonts w:ascii="Arial" w:hAnsi="Arial" w:cs="Arial"/>
          <w:color w:val="215868" w:themeColor="accent5" w:themeShade="80"/>
          <w:sz w:val="24"/>
          <w:szCs w:val="24"/>
        </w:rPr>
        <w:br/>
      </w:r>
      <w:proofErr w:type="spellStart"/>
      <w:r w:rsidRPr="00116D9A">
        <w:rPr>
          <w:rFonts w:ascii="Arial" w:hAnsi="Arial" w:cs="Arial"/>
          <w:sz w:val="24"/>
          <w:szCs w:val="24"/>
        </w:rPr>
        <w:t>Ativo</w:t>
      </w:r>
      <w:proofErr w:type="spellEnd"/>
      <w:r w:rsidRPr="00116D9A">
        <w:rPr>
          <w:rFonts w:ascii="Arial" w:hAnsi="Arial" w:cs="Arial"/>
          <w:sz w:val="24"/>
          <w:szCs w:val="24"/>
        </w:rPr>
        <w:t xml:space="preserve"> é um recurso controlado no presente pela entidade como resultado de evento passado.</w:t>
      </w: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Disponibilidades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16D9A">
        <w:rPr>
          <w:rFonts w:ascii="Arial" w:hAnsi="Arial" w:cs="Arial"/>
          <w:sz w:val="24"/>
          <w:szCs w:val="24"/>
        </w:rPr>
        <w:t>resultado. O</w:t>
      </w:r>
      <w:r w:rsidRPr="00116D9A">
        <w:rPr>
          <w:rFonts w:ascii="Arial" w:hAnsi="Arial" w:cs="Arial"/>
          <w:sz w:val="24"/>
          <w:szCs w:val="24"/>
        </w:rPr>
        <w:t xml:space="preserve"> Disponível contempla o numerário e outros bens e direitos com maior capacidade de conversibilidade em moeda e está segmentado em moeda nacional.</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Direitos, créditos e valores a longo prazo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Os direitos, os títulos de créditos são mensurados ou avaliados pelo valor original. Os riscos de recebimento de direitos são reconhecidos em conta de ajuste, a qual será reduzida ou anulada quando deixarem de existir os motivos que a originaram. Os direitos, os títulos de crédito prefixadas são ajustados a valor presente. Os direitos, os títulos de crédito pós-fixadas são ajustados </w:t>
      </w:r>
      <w:r w:rsidRPr="00116D9A">
        <w:rPr>
          <w:rFonts w:ascii="Arial" w:hAnsi="Arial" w:cs="Arial"/>
          <w:sz w:val="24"/>
          <w:szCs w:val="24"/>
        </w:rPr>
        <w:lastRenderedPageBreak/>
        <w:t>considerando-se todos os encargos incorridos até a data de encerramento do balanço. As atualizações e os ajustes apurados são contabilizados em contas de resultado.</w:t>
      </w:r>
    </w:p>
    <w:p w:rsidR="001D30D3"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 </w:t>
      </w: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Imobilizado</w:t>
      </w:r>
    </w:p>
    <w:p w:rsidR="006E41ED" w:rsidRDefault="006E41ED" w:rsidP="006E41ED">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r>
        <w:rPr>
          <w:rFonts w:ascii="Arial" w:hAnsi="Arial" w:cs="Arial"/>
          <w:sz w:val="24"/>
          <w:szCs w:val="24"/>
        </w:rPr>
        <w:t xml:space="preserve"> </w:t>
      </w:r>
      <w:r w:rsidRPr="00116D9A">
        <w:rPr>
          <w:rFonts w:ascii="Arial" w:hAnsi="Arial" w:cs="Arial"/>
          <w:sz w:val="24"/>
          <w:szCs w:val="24"/>
        </w:rPr>
        <w:t xml:space="preserve">O ativo imobilizado é reconhecido inicialmente com base no valor de aquisição, produção ou construção. O município de </w:t>
      </w:r>
      <w:r>
        <w:rPr>
          <w:rFonts w:ascii="Arial" w:hAnsi="Arial" w:cs="Arial"/>
          <w:bCs/>
          <w:sz w:val="24"/>
          <w:szCs w:val="24"/>
        </w:rPr>
        <w:t>Santa Terezinha do Progresso</w:t>
      </w:r>
      <w:r w:rsidRPr="00116D9A">
        <w:rPr>
          <w:rFonts w:ascii="Arial" w:hAnsi="Arial" w:cs="Arial"/>
          <w:sz w:val="24"/>
          <w:szCs w:val="24"/>
        </w:rPr>
        <w:t>, SC, possui ativo imobilizado com vida útil econômica limitada, e por isso se sujeita ao cálculo da depreciação.</w:t>
      </w:r>
    </w:p>
    <w:p w:rsidR="006E41ED" w:rsidRDefault="006E41ED" w:rsidP="006E41ED">
      <w:pPr>
        <w:autoSpaceDE w:val="0"/>
        <w:autoSpaceDN w:val="0"/>
        <w:adjustRightInd w:val="0"/>
        <w:spacing w:after="0" w:line="240" w:lineRule="auto"/>
        <w:ind w:left="1418" w:right="1559"/>
        <w:jc w:val="both"/>
        <w:rPr>
          <w:rFonts w:ascii="Arial" w:hAnsi="Arial" w:cs="Arial"/>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No ano de 2019, o Município de Santa Terezinha do Progresso, realizou atualização física e contábil do patrimônio, definindo a data de corte 01 de dezembro de 2019.</w:t>
      </w: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116D9A" w:rsidRDefault="006E41ED" w:rsidP="006E41ED">
      <w:pPr>
        <w:pStyle w:val="SemEspaamento"/>
        <w:ind w:left="1418" w:right="1559"/>
        <w:jc w:val="both"/>
        <w:rPr>
          <w:rFonts w:ascii="Arial" w:hAnsi="Arial" w:cs="Arial"/>
          <w:sz w:val="24"/>
          <w:szCs w:val="24"/>
        </w:rPr>
      </w:pPr>
      <w:r w:rsidRPr="00097605">
        <w:rPr>
          <w:rFonts w:ascii="Arial" w:hAnsi="Arial" w:cs="Arial"/>
          <w:sz w:val="24"/>
          <w:szCs w:val="24"/>
        </w:rPr>
        <w:t xml:space="preserve">Por meio do Decreto nº 149 de 13 de agosto de 2018, foram </w:t>
      </w:r>
      <w:r w:rsidRPr="00097605">
        <w:rPr>
          <w:rFonts w:ascii="Arial" w:eastAsia="Calibri" w:hAnsi="Arial" w:cs="Arial"/>
          <w:sz w:val="24"/>
          <w:szCs w:val="24"/>
        </w:rPr>
        <w:t>nomeados os membros abaixo relacionados para compor a Comissão Municipal Permanente de Avaliação Mobiliária e Imobiliária - COMPAMI</w:t>
      </w:r>
      <w:r w:rsidRPr="00097605">
        <w:rPr>
          <w:rFonts w:ascii="Arial" w:hAnsi="Arial" w:cs="Arial"/>
          <w:sz w:val="24"/>
          <w:szCs w:val="24"/>
        </w:rPr>
        <w:t>, responsáveis pela atualização do patrimônio, bens móveis</w:t>
      </w:r>
      <w:r w:rsidRPr="00116D9A">
        <w:rPr>
          <w:rFonts w:ascii="Arial" w:hAnsi="Arial" w:cs="Arial"/>
          <w:sz w:val="24"/>
          <w:szCs w:val="24"/>
        </w:rPr>
        <w:t xml:space="preserve"> e imóveis, para realizar os procedimentos contábeis patrimonial do município de </w:t>
      </w:r>
      <w:r>
        <w:rPr>
          <w:rFonts w:ascii="Arial" w:hAnsi="Arial" w:cs="Arial"/>
          <w:bCs/>
          <w:sz w:val="24"/>
          <w:szCs w:val="24"/>
        </w:rPr>
        <w:t>Santa Terezinha do Progresso</w:t>
      </w:r>
      <w:r w:rsidRPr="00116D9A">
        <w:rPr>
          <w:rFonts w:ascii="Arial" w:hAnsi="Arial" w:cs="Arial"/>
          <w:sz w:val="24"/>
          <w:szCs w:val="24"/>
        </w:rPr>
        <w:t>, SC.</w:t>
      </w:r>
    </w:p>
    <w:p w:rsidR="006E41ED" w:rsidRDefault="006E41ED" w:rsidP="006E41ED">
      <w:pPr>
        <w:autoSpaceDE w:val="0"/>
        <w:autoSpaceDN w:val="0"/>
        <w:adjustRightInd w:val="0"/>
        <w:spacing w:after="0" w:line="240" w:lineRule="auto"/>
        <w:ind w:left="1418" w:right="1559"/>
        <w:jc w:val="both"/>
        <w:rPr>
          <w:rFonts w:ascii="Arial" w:hAnsi="Arial" w:cs="Arial"/>
          <w:sz w:val="24"/>
          <w:szCs w:val="24"/>
        </w:rPr>
      </w:pPr>
    </w:p>
    <w:p w:rsidR="006E41ED" w:rsidRDefault="006E41ED" w:rsidP="006E41ED">
      <w:pPr>
        <w:pStyle w:val="SemEspaamento"/>
        <w:ind w:left="1418" w:right="1559"/>
        <w:jc w:val="both"/>
        <w:rPr>
          <w:rFonts w:ascii="Arial" w:hAnsi="Arial" w:cs="Arial"/>
          <w:sz w:val="24"/>
          <w:szCs w:val="24"/>
        </w:rPr>
      </w:pPr>
    </w:p>
    <w:p w:rsidR="006E41ED" w:rsidRPr="00116D9A" w:rsidRDefault="006E41ED" w:rsidP="006E41E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6E41ED" w:rsidRPr="00203FF8" w:rsidRDefault="006E41ED" w:rsidP="006E41ED">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Pr>
          <w:rFonts w:ascii="Arial" w:hAnsi="Arial" w:cs="Arial"/>
        </w:rPr>
        <w:t>são</w:t>
      </w:r>
      <w:r w:rsidRPr="00116D9A">
        <w:rPr>
          <w:rFonts w:ascii="Arial" w:hAnsi="Arial" w:cs="Arial"/>
        </w:rPr>
        <w:t xml:space="preserve"> reconhecidas e registradas integralmente no momento em que ocorrerem e os registros da entidade, desde qu</w:t>
      </w:r>
      <w:r>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Pr="00203FF8">
        <w:rPr>
          <w:rFonts w:ascii="Arial" w:hAnsi="Arial" w:cs="Arial"/>
          <w:b/>
          <w:i/>
          <w:sz w:val="24"/>
          <w:szCs w:val="24"/>
        </w:rPr>
        <w:t xml:space="preserve">processo de reconhecimento dos bens como ativos, ou baixa dos mesmos, foram consideradas necessárias às características de ser resultado de um evento passado, gerar benefício presente ou futuro, inerente a prestação de serviço público ou a exploração econômica, e, ser controlado. </w:t>
      </w:r>
    </w:p>
    <w:p w:rsidR="006E41ED"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116D9A" w:rsidRDefault="006E41ED" w:rsidP="006E41E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Mensuração </w:t>
      </w:r>
    </w:p>
    <w:p w:rsidR="006E41ED" w:rsidRDefault="006E41ED" w:rsidP="006E41ED">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6E41ED" w:rsidRDefault="006E41ED" w:rsidP="006E41ED">
      <w:pPr>
        <w:pStyle w:val="Default"/>
        <w:ind w:left="1418" w:right="1559"/>
        <w:jc w:val="both"/>
        <w:rPr>
          <w:rFonts w:ascii="Arial" w:hAnsi="Arial" w:cs="Arial"/>
        </w:rPr>
      </w:pP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w:t>
      </w:r>
      <w:r>
        <w:rPr>
          <w:rFonts w:ascii="Arial" w:hAnsi="Arial" w:cs="Arial"/>
          <w:b/>
          <w:i/>
          <w:sz w:val="24"/>
          <w:szCs w:val="24"/>
        </w:rPr>
        <w:t>o M</w:t>
      </w:r>
      <w:r w:rsidRPr="00203FF8">
        <w:rPr>
          <w:rFonts w:ascii="Arial" w:hAnsi="Arial" w:cs="Arial"/>
          <w:b/>
          <w:i/>
          <w:sz w:val="24"/>
          <w:szCs w:val="24"/>
        </w:rPr>
        <w:t xml:space="preserve">unicípio de Santa Terezinha do Progresso, SC, adotou, em 2019,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apresentavam valor contábil substancialmente superior ao seu valor justo, com base em pesquisa de mercado, considerando ainda a sua data de aquisição. </w:t>
      </w: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A pesquisa de mercado, efetuada em 2019, encontra-se em poder do setor de patrimônio. A data de corte foi 01 de dezembro de 2019.</w:t>
      </w:r>
    </w:p>
    <w:p w:rsidR="006E41ED"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097605" w:rsidRDefault="006E41ED" w:rsidP="006E41ED">
      <w:pPr>
        <w:autoSpaceDE w:val="0"/>
        <w:autoSpaceDN w:val="0"/>
        <w:adjustRightInd w:val="0"/>
        <w:spacing w:after="0" w:line="240" w:lineRule="auto"/>
        <w:ind w:left="1418" w:right="1559"/>
        <w:jc w:val="both"/>
        <w:rPr>
          <w:rFonts w:ascii="Arial" w:hAnsi="Arial" w:cs="Arial"/>
          <w:color w:val="FF0000"/>
          <w:sz w:val="24"/>
          <w:szCs w:val="24"/>
        </w:rPr>
      </w:pPr>
      <w:r w:rsidRPr="00116D9A">
        <w:rPr>
          <w:rFonts w:ascii="Arial" w:hAnsi="Arial" w:cs="Arial"/>
          <w:color w:val="215868" w:themeColor="accent5" w:themeShade="80"/>
          <w:sz w:val="24"/>
          <w:szCs w:val="24"/>
        </w:rPr>
        <w:t xml:space="preserve">Depreciação </w:t>
      </w:r>
    </w:p>
    <w:p w:rsidR="006E41ED" w:rsidRDefault="006E41ED" w:rsidP="006E41ED">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Pr="006552D6">
        <w:rPr>
          <w:rFonts w:ascii="Arial" w:hAnsi="Arial" w:cs="Arial"/>
        </w:rPr>
        <w:t xml:space="preserve">administração pública municipal </w:t>
      </w:r>
      <w:r>
        <w:rPr>
          <w:rFonts w:ascii="Arial" w:hAnsi="Arial" w:cs="Arial"/>
        </w:rPr>
        <w:t xml:space="preserve">já </w:t>
      </w:r>
      <w:r w:rsidRPr="006552D6">
        <w:rPr>
          <w:rFonts w:ascii="Arial" w:hAnsi="Arial" w:cs="Arial"/>
        </w:rPr>
        <w:t>p</w:t>
      </w:r>
      <w:r>
        <w:rPr>
          <w:rFonts w:ascii="Arial" w:hAnsi="Arial" w:cs="Arial"/>
        </w:rPr>
        <w:t xml:space="preserve">raticava em 2019, </w:t>
      </w:r>
      <w:r w:rsidRPr="006552D6">
        <w:rPr>
          <w:rFonts w:ascii="Arial" w:hAnsi="Arial" w:cs="Arial"/>
        </w:rPr>
        <w:t xml:space="preserve">procedimentos para preservar </w:t>
      </w:r>
      <w:r>
        <w:rPr>
          <w:rFonts w:ascii="Arial" w:hAnsi="Arial" w:cs="Arial"/>
        </w:rPr>
        <w:t xml:space="preserve">de depreciação, porém, os bens já não estavam com </w:t>
      </w:r>
      <w:r w:rsidRPr="00116D9A">
        <w:rPr>
          <w:rFonts w:ascii="Arial" w:hAnsi="Arial" w:cs="Arial"/>
        </w:rPr>
        <w:t xml:space="preserve">base monetária </w:t>
      </w:r>
      <w:r>
        <w:rPr>
          <w:rFonts w:ascii="Arial" w:hAnsi="Arial" w:cs="Arial"/>
        </w:rPr>
        <w:t xml:space="preserve">confiável. Em 2019, foi realizado levantamento físico e atualização contábil do patrimônio imobilizado. </w:t>
      </w: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O administrador reiniciou o procedimento de depreciação no mês de dezembro de 2019, zerando a depreciação dos bens já em uso, que passaram a apresentar uma base monetária confiável, avaliados a valor atual de mercado (valor justo). </w:t>
      </w:r>
    </w:p>
    <w:p w:rsidR="006E41ED" w:rsidRDefault="006E41ED" w:rsidP="006E41ED">
      <w:pPr>
        <w:pStyle w:val="NormalWeb"/>
        <w:autoSpaceDE w:val="0"/>
        <w:autoSpaceDN w:val="0"/>
        <w:adjustRightInd w:val="0"/>
        <w:ind w:left="1418" w:right="1559"/>
        <w:jc w:val="both"/>
        <w:rPr>
          <w:rFonts w:ascii="Arial" w:hAnsi="Arial" w:cs="Arial"/>
        </w:rPr>
      </w:pPr>
      <w:r w:rsidRPr="00116D9A">
        <w:rPr>
          <w:rFonts w:ascii="Arial" w:hAnsi="Arial" w:cs="Arial"/>
        </w:rPr>
        <w:t xml:space="preserve">Somente após mensuração do valor dos ativos, para fins de ajuste inicial, pelo critério do valor justo como custo atribuído do ativo imobilizado dos bens, o Município de </w:t>
      </w:r>
      <w:r>
        <w:rPr>
          <w:rFonts w:ascii="Arial" w:hAnsi="Arial" w:cs="Arial"/>
          <w:bCs/>
        </w:rPr>
        <w:t>Santa Terezinha do Progresso</w:t>
      </w:r>
      <w:r w:rsidRPr="00116D9A">
        <w:rPr>
          <w:rFonts w:ascii="Arial" w:hAnsi="Arial" w:cs="Arial"/>
        </w:rPr>
        <w:t>, SC, adotou o método de depreciação linear, com estabelecimento de valor residual e vida útil dos bens, de acordo com cada classe, atendendo ao disposto nas Normas Brasileiras de Contabilidade Aplicadas ao Setor Público e elaborada com base em pesquisa de mercado.</w:t>
      </w:r>
    </w:p>
    <w:p w:rsidR="006E41ED" w:rsidRDefault="006E41ED" w:rsidP="006E41ED">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lastRenderedPageBreak/>
        <w:t xml:space="preserve">O objetivo é o fiel cumprimento das Normas Brasileiras de Contabilidade, e para que a contabilidade demonstre a adequada situação patrimonial dos órgãos e entidades, em cumprimento as NBCASP. </w:t>
      </w:r>
    </w:p>
    <w:p w:rsidR="006E41ED" w:rsidRDefault="006E41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Redução do valor recuperável (</w:t>
      </w:r>
      <w:proofErr w:type="spellStart"/>
      <w:r w:rsidRPr="00116D9A">
        <w:rPr>
          <w:rFonts w:ascii="Arial" w:hAnsi="Arial" w:cs="Arial"/>
          <w:color w:val="215868" w:themeColor="accent5" w:themeShade="80"/>
          <w:sz w:val="24"/>
          <w:szCs w:val="24"/>
        </w:rPr>
        <w:t>impairment</w:t>
      </w:r>
      <w:proofErr w:type="spellEnd"/>
      <w:r w:rsidRPr="00116D9A">
        <w:rPr>
          <w:rFonts w:ascii="Arial" w:hAnsi="Arial" w:cs="Arial"/>
          <w:color w:val="215868" w:themeColor="accent5" w:themeShade="80"/>
          <w:sz w:val="24"/>
          <w:szCs w:val="24"/>
        </w:rPr>
        <w:t xml:space="preserve">) </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município</w:t>
      </w:r>
      <w:r w:rsidR="008A3226" w:rsidRPr="00116D9A">
        <w:rPr>
          <w:rFonts w:ascii="Arial" w:hAnsi="Arial" w:cs="Arial"/>
          <w:sz w:val="24"/>
          <w:szCs w:val="24"/>
        </w:rPr>
        <w:t xml:space="preserve"> de </w:t>
      </w:r>
      <w:r w:rsidR="007350FD">
        <w:rPr>
          <w:rFonts w:ascii="Arial" w:hAnsi="Arial" w:cs="Arial"/>
        </w:rPr>
        <w:t>Santa Terezinha do Progresso</w:t>
      </w:r>
      <w:r w:rsidR="008A3226" w:rsidRPr="00116D9A">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116D9A" w:rsidRDefault="008A3226" w:rsidP="008365B6">
      <w:pPr>
        <w:pStyle w:val="NormalWeb"/>
        <w:spacing w:before="0" w:beforeAutospacing="0" w:after="0" w:afterAutospacing="0"/>
        <w:ind w:left="1418" w:right="1559"/>
        <w:jc w:val="both"/>
        <w:rPr>
          <w:rFonts w:ascii="Arial" w:hAnsi="Arial" w:cs="Arial"/>
        </w:rPr>
      </w:pPr>
      <w:r w:rsidRPr="00116D9A">
        <w:rPr>
          <w:rFonts w:ascii="Arial" w:hAnsi="Arial" w:cs="Arial"/>
          <w:bCs/>
        </w:rPr>
        <w:t>Redução a valor recuperável</w:t>
      </w:r>
      <w:r w:rsidRPr="00116D9A">
        <w:rPr>
          <w:rFonts w:ascii="Arial" w:hAnsi="Arial" w:cs="Arial"/>
          <w:b/>
          <w:bCs/>
        </w:rPr>
        <w:t xml:space="preserve"> </w:t>
      </w:r>
      <w:r w:rsidRPr="00116D9A">
        <w:rPr>
          <w:rFonts w:ascii="Arial" w:hAnsi="Arial" w:cs="Arial"/>
        </w:rPr>
        <w:t xml:space="preserve">é o ajuste ao valor de mercado ou de consenso entre as partes para bens do ativo, quando </w:t>
      </w:r>
      <w:r w:rsidRPr="00116D9A">
        <w:rPr>
          <w:rFonts w:ascii="Arial" w:hAnsi="Arial" w:cs="Arial"/>
          <w:bCs/>
        </w:rPr>
        <w:t>esse for inferior ao valor líquido contábil</w:t>
      </w:r>
      <w:r w:rsidRPr="00116D9A">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Intangível</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de </w:t>
      </w:r>
      <w:r w:rsidR="007350FD">
        <w:rPr>
          <w:rFonts w:ascii="Arial" w:hAnsi="Arial" w:cs="Arial"/>
        </w:rPr>
        <w:t>Santa Terezinha do Progresso</w:t>
      </w:r>
      <w:r w:rsidR="008A3226" w:rsidRPr="00116D9A">
        <w:rPr>
          <w:rFonts w:ascii="Arial" w:hAnsi="Arial" w:cs="Arial"/>
          <w:sz w:val="24"/>
          <w:szCs w:val="24"/>
        </w:rPr>
        <w:t>, SC</w:t>
      </w:r>
      <w:r w:rsidRPr="00116D9A">
        <w:rPr>
          <w:rFonts w:ascii="Arial" w:hAnsi="Arial" w:cs="Arial"/>
          <w:sz w:val="24"/>
          <w:szCs w:val="24"/>
        </w:rPr>
        <w:t>,</w:t>
      </w:r>
      <w:r w:rsidR="008A3226" w:rsidRPr="00116D9A">
        <w:rPr>
          <w:rFonts w:ascii="Arial" w:hAnsi="Arial" w:cs="Arial"/>
          <w:sz w:val="24"/>
          <w:szCs w:val="24"/>
        </w:rPr>
        <w:t xml:space="preserve"> não possui bens intangíveis em seu patrimônio.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5254A5" w:rsidRDefault="005254A5" w:rsidP="008365B6">
      <w:pPr>
        <w:autoSpaceDE w:val="0"/>
        <w:autoSpaceDN w:val="0"/>
        <w:adjustRightInd w:val="0"/>
        <w:spacing w:after="0" w:line="240" w:lineRule="auto"/>
        <w:ind w:left="1418" w:right="1559"/>
        <w:jc w:val="both"/>
        <w:rPr>
          <w:rFonts w:ascii="Arial" w:hAnsi="Arial" w:cs="Arial"/>
          <w:sz w:val="24"/>
          <w:szCs w:val="24"/>
        </w:rPr>
      </w:pPr>
    </w:p>
    <w:p w:rsidR="001A008C" w:rsidRPr="00116D9A"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Pr="00116D9A"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Passivo</w:t>
      </w:r>
      <w:r w:rsidRPr="00116D9A">
        <w:rPr>
          <w:rFonts w:ascii="Arial" w:hAnsi="Arial" w:cs="Arial"/>
          <w:color w:val="215868" w:themeColor="accent5" w:themeShade="80"/>
          <w:sz w:val="24"/>
          <w:szCs w:val="24"/>
        </w:rPr>
        <w:br/>
      </w:r>
      <w:proofErr w:type="spellStart"/>
      <w:r w:rsidRPr="00116D9A">
        <w:rPr>
          <w:rFonts w:ascii="Arial" w:hAnsi="Arial" w:cs="Arial"/>
          <w:sz w:val="24"/>
          <w:szCs w:val="24"/>
        </w:rPr>
        <w:t>Passivo</w:t>
      </w:r>
      <w:proofErr w:type="spellEnd"/>
      <w:r w:rsidRPr="00116D9A">
        <w:rPr>
          <w:rFonts w:ascii="Arial" w:hAnsi="Arial" w:cs="Arial"/>
          <w:sz w:val="24"/>
          <w:szCs w:val="24"/>
        </w:rPr>
        <w:t xml:space="preserve"> é uma obrigação presente, derivada de evento passado, cuja extinção deva resultar na saída de recursos da entidade.</w:t>
      </w: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Obrigações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As obrigações são mensuradas ou avaliadas pelo valor original. As obrigações pós-fixadas são ajustad</w:t>
      </w:r>
      <w:r w:rsidR="00382831" w:rsidRPr="00116D9A">
        <w:rPr>
          <w:rFonts w:ascii="Arial" w:hAnsi="Arial" w:cs="Arial"/>
          <w:sz w:val="24"/>
          <w:szCs w:val="24"/>
        </w:rPr>
        <w:t>a</w:t>
      </w:r>
      <w:r w:rsidRPr="00116D9A">
        <w:rPr>
          <w:rFonts w:ascii="Arial" w:hAnsi="Arial" w:cs="Arial"/>
          <w:sz w:val="24"/>
          <w:szCs w:val="24"/>
        </w:rPr>
        <w:t>s considerando-se todos os encargos incorridos até a data de encerramento do balanço. As provisões são constituídas com base em estimativas pelos prováveis valores de reconhecimento para os passivos</w:t>
      </w:r>
      <w:r w:rsidR="00382831" w:rsidRPr="00116D9A">
        <w:rPr>
          <w:rFonts w:ascii="Arial" w:hAnsi="Arial" w:cs="Arial"/>
          <w:sz w:val="24"/>
          <w:szCs w:val="24"/>
        </w:rPr>
        <w:t>, no caso dos processos judiciais</w:t>
      </w:r>
      <w:r w:rsidRPr="00116D9A">
        <w:rPr>
          <w:rFonts w:ascii="Arial" w:hAnsi="Arial" w:cs="Arial"/>
          <w:sz w:val="24"/>
          <w:szCs w:val="24"/>
        </w:rPr>
        <w:t xml:space="preserve">. As atualizações e os ajustes apurados são contabilizados em contas de resultado. Férias são passivos derivados de apropriações por competência, decorrentes de serviços recebidos, mas </w:t>
      </w:r>
      <w:r w:rsidRPr="00116D9A">
        <w:rPr>
          <w:rFonts w:ascii="Arial" w:hAnsi="Arial" w:cs="Arial"/>
          <w:sz w:val="24"/>
          <w:szCs w:val="24"/>
        </w:rPr>
        <w:lastRenderedPageBreak/>
        <w:t xml:space="preserve">que não tenham sido pagos. As informações </w:t>
      </w:r>
      <w:r w:rsidR="00382831" w:rsidRPr="00116D9A">
        <w:rPr>
          <w:rFonts w:ascii="Arial" w:hAnsi="Arial" w:cs="Arial"/>
          <w:sz w:val="24"/>
          <w:szCs w:val="24"/>
        </w:rPr>
        <w:t xml:space="preserve">relativas a férias e décimo terceiro salário, são </w:t>
      </w:r>
      <w:r w:rsidRPr="00116D9A">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Custos dos Empréstimos</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custos dos empréstimos são reconhecidos como despesas no período em que foram incorridos, independentemente de como esses empréstimos foram aplicados.</w:t>
      </w:r>
      <w:r w:rsidR="006552D6">
        <w:rPr>
          <w:rFonts w:ascii="Arial" w:hAnsi="Arial" w:cs="Arial"/>
          <w:sz w:val="24"/>
          <w:szCs w:val="24"/>
        </w:rPr>
        <w:t xml:space="preserve"> </w:t>
      </w:r>
      <w:r w:rsidR="00B102B0">
        <w:rPr>
          <w:rFonts w:ascii="Arial" w:hAnsi="Arial" w:cs="Arial"/>
          <w:sz w:val="24"/>
          <w:szCs w:val="24"/>
        </w:rPr>
        <w:t xml:space="preserve">O Município de </w:t>
      </w:r>
      <w:r w:rsidR="00B102B0">
        <w:rPr>
          <w:rFonts w:ascii="Arial" w:hAnsi="Arial" w:cs="Arial"/>
          <w:bCs/>
          <w:sz w:val="24"/>
          <w:szCs w:val="24"/>
        </w:rPr>
        <w:t>Santa Terezinha do Progresso</w:t>
      </w:r>
      <w:r w:rsidR="00B102B0">
        <w:rPr>
          <w:rFonts w:ascii="Arial" w:hAnsi="Arial" w:cs="Arial"/>
          <w:sz w:val="24"/>
          <w:szCs w:val="24"/>
        </w:rPr>
        <w:t xml:space="preserve"> efetuou contrato de empréstimo Nº2018032001 com a Agência de Fomento do Estado de Santa Catarina S.A. – BADESC, no valor de R$1.000.000,00 (um milhão de reais)</w:t>
      </w:r>
      <w:r w:rsidR="006552D6">
        <w:rPr>
          <w:rFonts w:ascii="Arial" w:hAnsi="Arial" w:cs="Arial"/>
          <w:sz w:val="24"/>
          <w:szCs w:val="24"/>
        </w:rPr>
        <w:t>.</w:t>
      </w:r>
    </w:p>
    <w:p w:rsidR="0093664A" w:rsidRDefault="0093664A" w:rsidP="008365B6">
      <w:pPr>
        <w:autoSpaceDE w:val="0"/>
        <w:autoSpaceDN w:val="0"/>
        <w:adjustRightInd w:val="0"/>
        <w:spacing w:after="0" w:line="240" w:lineRule="auto"/>
        <w:ind w:left="1418" w:right="1559"/>
        <w:rPr>
          <w:rFonts w:ascii="Arial" w:hAnsi="Arial" w:cs="Arial"/>
          <w:color w:val="FF0000"/>
          <w:sz w:val="24"/>
          <w:szCs w:val="24"/>
        </w:rPr>
      </w:pPr>
    </w:p>
    <w:p w:rsidR="006E41ED" w:rsidRDefault="006E41ED" w:rsidP="008365B6">
      <w:pPr>
        <w:autoSpaceDE w:val="0"/>
        <w:autoSpaceDN w:val="0"/>
        <w:adjustRightInd w:val="0"/>
        <w:spacing w:after="0" w:line="240" w:lineRule="auto"/>
        <w:ind w:left="1418" w:right="1559"/>
        <w:rPr>
          <w:rFonts w:ascii="Arial" w:hAnsi="Arial" w:cs="Arial"/>
          <w:color w:val="FF0000"/>
          <w:sz w:val="24"/>
          <w:szCs w:val="24"/>
        </w:rPr>
      </w:pPr>
    </w:p>
    <w:p w:rsidR="006E41ED" w:rsidRPr="00116D9A" w:rsidRDefault="006E41ED" w:rsidP="008365B6">
      <w:pPr>
        <w:autoSpaceDE w:val="0"/>
        <w:autoSpaceDN w:val="0"/>
        <w:adjustRightInd w:val="0"/>
        <w:spacing w:after="0" w:line="240" w:lineRule="auto"/>
        <w:ind w:left="1418" w:right="1559"/>
        <w:rPr>
          <w:rFonts w:ascii="Arial" w:hAnsi="Arial" w:cs="Arial"/>
          <w:color w:val="FF0000"/>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Contabilização das Retenções para Fins Orçamentários </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6E41ED" w:rsidRPr="00116D9A" w:rsidRDefault="006E41ED"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Passivos sem Execução Orçamentária </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Pr="00116D9A"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5254A5" w:rsidRPr="00116D9A" w:rsidRDefault="005254A5"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93664A"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PATRIMÔNIO LÍQUIDO</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Patrimônio líquido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Ajustes de exercícios anteriores</w:t>
      </w:r>
    </w:p>
    <w:p w:rsidR="001A008C" w:rsidRPr="00116D9A" w:rsidRDefault="001A008C" w:rsidP="008365B6">
      <w:pPr>
        <w:autoSpaceDE w:val="0"/>
        <w:autoSpaceDN w:val="0"/>
        <w:adjustRightInd w:val="0"/>
        <w:spacing w:after="0" w:line="240" w:lineRule="auto"/>
        <w:ind w:left="1418" w:right="1559"/>
        <w:jc w:val="both"/>
        <w:rPr>
          <w:rFonts w:ascii="Arial" w:hAnsi="Arial" w:cs="Arial"/>
          <w:bCs/>
          <w:sz w:val="24"/>
          <w:szCs w:val="24"/>
        </w:rPr>
      </w:pPr>
      <w:r w:rsidRPr="00116D9A">
        <w:rPr>
          <w:rFonts w:ascii="Arial" w:hAnsi="Arial" w:cs="Arial"/>
          <w:bCs/>
          <w:sz w:val="24"/>
          <w:szCs w:val="24"/>
        </w:rPr>
        <w:t xml:space="preserve">No grupo do patrimônio líquido, a conta Ajustes de Exercício Anteriores é utilizada apenas os decorrentes </w:t>
      </w:r>
      <w:r w:rsidRPr="00116D9A">
        <w:rPr>
          <w:rFonts w:ascii="Arial" w:hAnsi="Arial" w:cs="Arial"/>
          <w:bCs/>
          <w:sz w:val="24"/>
          <w:szCs w:val="24"/>
        </w:rPr>
        <w:lastRenderedPageBreak/>
        <w:t>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Apuração do Resultado</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Pr="00116D9A"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Pr="00116D9A"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DEFINIÇÕES GERAIS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Registro da Receita Orçamentária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do Município de </w:t>
      </w:r>
      <w:r w:rsidR="007350FD">
        <w:rPr>
          <w:rFonts w:ascii="Arial" w:hAnsi="Arial" w:cs="Arial"/>
        </w:rPr>
        <w:t>Santa Terezinha do Progresso</w:t>
      </w:r>
      <w:r w:rsidRPr="00116D9A">
        <w:rPr>
          <w:rFonts w:ascii="Arial" w:hAnsi="Arial" w:cs="Arial"/>
          <w:sz w:val="24"/>
          <w:szCs w:val="24"/>
        </w:rPr>
        <w:t xml:space="preserve">, SC, é o registro centralizado da receita orçamentária pelo princípio do caixa único. </w:t>
      </w:r>
      <w:r w:rsidR="00382831" w:rsidRPr="00116D9A">
        <w:rPr>
          <w:rFonts w:ascii="Arial" w:hAnsi="Arial" w:cs="Arial"/>
          <w:sz w:val="24"/>
          <w:szCs w:val="24"/>
        </w:rPr>
        <w:t>O regime contábil para o registro da receita é o regime de caixa.</w:t>
      </w:r>
      <w:r w:rsidRPr="00116D9A">
        <w:rPr>
          <w:rFonts w:ascii="Arial" w:hAnsi="Arial" w:cs="Arial"/>
          <w:sz w:val="24"/>
          <w:szCs w:val="24"/>
        </w:rPr>
        <w:t xml:space="preserve"> </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Distinção entre Circulante e Não Circulante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adotada evidencia como circulante os direitos e as obrigações com valores de realização em até 12 meses da data de levantamento destas demonstrações contábeis. Os ingressos </w:t>
      </w:r>
      <w:r w:rsidR="00594F2D" w:rsidRPr="00116D9A">
        <w:rPr>
          <w:rFonts w:ascii="Arial" w:hAnsi="Arial" w:cs="Arial"/>
          <w:sz w:val="24"/>
          <w:szCs w:val="24"/>
        </w:rPr>
        <w:t>extra orçamentários</w:t>
      </w:r>
      <w:r w:rsidRPr="00116D9A">
        <w:rPr>
          <w:rFonts w:ascii="Arial" w:hAnsi="Arial" w:cs="Arial"/>
          <w:sz w:val="24"/>
          <w:szCs w:val="24"/>
        </w:rPr>
        <w:t xml:space="preserve">, tais como cauções e outras entradas compensatórias, são considerados como circulante, independentemente do prazo de devolução do recurso. </w:t>
      </w:r>
    </w:p>
    <w:p w:rsidR="008A3226"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5254A5" w:rsidRPr="00116D9A" w:rsidRDefault="005254A5"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Renúncia de Receita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valores da renúncia de receita apurados pela área tributária são informados à contabilidade e reconhecidos como dedução da variação patrimonial aumentativa. Os valores só são reconhecidos pela contabilidade quando forem passíveis de ser mensurados com segurança.</w:t>
      </w:r>
    </w:p>
    <w:p w:rsidR="008A3226" w:rsidRPr="00116D9A"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2.2 Novas normas e políticas contábeis alteradas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Conselho Federal de Contabilidade (CFC) publicou em outubro de 2016, a Norma Brasileira de Contabilidade Aplicada ao Setor Público (NBC TSP) – Estrutura Conceitual. A regra é a primeira da área convergida às internacionalmente aceitas e vai nortear </w:t>
      </w:r>
      <w:r w:rsidRPr="00116D9A">
        <w:rPr>
          <w:rFonts w:ascii="Arial" w:hAnsi="Arial" w:cs="Arial"/>
          <w:sz w:val="24"/>
          <w:szCs w:val="24"/>
        </w:rPr>
        <w:lastRenderedPageBreak/>
        <w:t>toda a contabilidade pública. Um dos principais pontos da norma é a definição da sociedade como usuária principal da informação contábil, o que facilitará a transparência e o controle social.</w:t>
      </w:r>
      <w:r w:rsidR="00667AE1" w:rsidRPr="00116D9A">
        <w:rPr>
          <w:rFonts w:ascii="Arial" w:hAnsi="Arial" w:cs="Arial"/>
          <w:sz w:val="24"/>
          <w:szCs w:val="24"/>
        </w:rPr>
        <w:t xml:space="preserve"> </w:t>
      </w:r>
      <w:r w:rsidRPr="00116D9A">
        <w:rPr>
          <w:rFonts w:ascii="Arial" w:hAnsi="Arial" w:cs="Arial"/>
          <w:sz w:val="24"/>
          <w:szCs w:val="24"/>
        </w:rPr>
        <w:t xml:space="preserve">O Município de </w:t>
      </w:r>
      <w:r w:rsidR="007350FD">
        <w:rPr>
          <w:rFonts w:ascii="Arial" w:hAnsi="Arial" w:cs="Arial"/>
        </w:rPr>
        <w:t>Santa Terezinha do Progresso</w:t>
      </w:r>
      <w:r w:rsidRPr="00116D9A">
        <w:rPr>
          <w:rFonts w:ascii="Arial" w:hAnsi="Arial" w:cs="Arial"/>
          <w:sz w:val="24"/>
          <w:szCs w:val="24"/>
        </w:rPr>
        <w:t xml:space="preserve">, SC, atende as exigências das </w:t>
      </w:r>
      <w:proofErr w:type="spellStart"/>
      <w:r w:rsidRPr="00116D9A">
        <w:rPr>
          <w:rFonts w:ascii="Arial" w:hAnsi="Arial" w:cs="Arial"/>
          <w:sz w:val="24"/>
          <w:szCs w:val="24"/>
        </w:rPr>
        <w:t>NBCASPs</w:t>
      </w:r>
      <w:proofErr w:type="spellEnd"/>
      <w:r w:rsidRPr="00116D9A">
        <w:rPr>
          <w:rFonts w:ascii="Arial" w:hAnsi="Arial" w:cs="Arial"/>
          <w:sz w:val="24"/>
          <w:szCs w:val="24"/>
        </w:rPr>
        <w:t xml:space="preserve"> vigentes, e busca acompanhar as novidades das novas normas </w:t>
      </w:r>
      <w:r w:rsidR="00667AE1" w:rsidRPr="00116D9A">
        <w:rPr>
          <w:rFonts w:ascii="Arial" w:hAnsi="Arial" w:cs="Arial"/>
          <w:sz w:val="24"/>
          <w:szCs w:val="24"/>
        </w:rPr>
        <w:t xml:space="preserve">e políticas contábeis previstas. </w:t>
      </w:r>
      <w:r w:rsidRPr="00116D9A">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2.3 Julgamentos pela aplicação das políticas contábeis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Na preparação das demonstrações contábeis, o Município de </w:t>
      </w:r>
      <w:r w:rsidR="007350FD">
        <w:rPr>
          <w:rFonts w:ascii="Arial" w:hAnsi="Arial" w:cs="Arial"/>
        </w:rPr>
        <w:t>Santa Terezinha do Progresso</w:t>
      </w:r>
      <w:r w:rsidRPr="00116D9A">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116D9A"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a) </w:t>
      </w:r>
      <w:r w:rsidRPr="00116D9A">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b) </w:t>
      </w:r>
      <w:r w:rsidRPr="00116D9A">
        <w:rPr>
          <w:rFonts w:ascii="Arial" w:hAnsi="Arial" w:cs="Arial"/>
          <w:sz w:val="24"/>
          <w:szCs w:val="24"/>
        </w:rPr>
        <w:t>no ajuste para perdas prováveis dos valores inscritos em dívida ativa e créditos a receber, foi utilizada a média de recebimento dos últimos três anos</w:t>
      </w:r>
      <w:r w:rsidR="001A008C" w:rsidRPr="00116D9A">
        <w:rPr>
          <w:rFonts w:ascii="Arial" w:hAnsi="Arial" w:cs="Arial"/>
          <w:sz w:val="24"/>
          <w:szCs w:val="24"/>
        </w:rPr>
        <w:t xml:space="preserve"> em relação a inscrição, o que demonstrará o comportamento da dívida ativa.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c) </w:t>
      </w:r>
      <w:r w:rsidRPr="00116D9A">
        <w:rPr>
          <w:rFonts w:ascii="Arial" w:hAnsi="Arial" w:cs="Arial"/>
          <w:sz w:val="24"/>
          <w:szCs w:val="24"/>
        </w:rPr>
        <w:t xml:space="preserve">na determinação da vida útil econômica dos bens do imobilizado, está definida no Manual de controle físico e contábil do patrimônio do Município de </w:t>
      </w:r>
      <w:r w:rsidR="007350FD">
        <w:rPr>
          <w:rFonts w:ascii="Arial" w:hAnsi="Arial" w:cs="Arial"/>
        </w:rPr>
        <w:t>Santa Terezinha do Progresso</w:t>
      </w:r>
      <w:r w:rsidRPr="00116D9A">
        <w:rPr>
          <w:rFonts w:ascii="Arial" w:hAnsi="Arial" w:cs="Arial"/>
          <w:sz w:val="24"/>
          <w:szCs w:val="24"/>
        </w:rPr>
        <w:t>, SC. A tabela foi elabora</w:t>
      </w:r>
      <w:r w:rsidR="002A05BE" w:rsidRPr="00116D9A">
        <w:rPr>
          <w:rFonts w:ascii="Arial" w:hAnsi="Arial" w:cs="Arial"/>
          <w:sz w:val="24"/>
          <w:szCs w:val="24"/>
        </w:rPr>
        <w:t>da</w:t>
      </w:r>
      <w:r w:rsidRPr="00116D9A">
        <w:rPr>
          <w:rFonts w:ascii="Arial" w:hAnsi="Arial" w:cs="Arial"/>
          <w:sz w:val="24"/>
          <w:szCs w:val="24"/>
        </w:rPr>
        <w:t xml:space="preserve"> conforme vida útil estimada para cada classe de bens, de acordo com a realidade de uso e conservação do</w:t>
      </w:r>
      <w:r w:rsidR="00064B86" w:rsidRPr="00116D9A">
        <w:rPr>
          <w:rFonts w:ascii="Arial" w:hAnsi="Arial" w:cs="Arial"/>
          <w:sz w:val="24"/>
          <w:szCs w:val="24"/>
        </w:rPr>
        <w:t>s</w:t>
      </w:r>
      <w:r w:rsidRPr="00116D9A">
        <w:rPr>
          <w:rFonts w:ascii="Arial" w:hAnsi="Arial" w:cs="Arial"/>
          <w:sz w:val="24"/>
          <w:szCs w:val="24"/>
        </w:rPr>
        <w:t xml:space="preserve"> be</w:t>
      </w:r>
      <w:r w:rsidR="00064B86" w:rsidRPr="00116D9A">
        <w:rPr>
          <w:rFonts w:ascii="Arial" w:hAnsi="Arial" w:cs="Arial"/>
          <w:sz w:val="24"/>
          <w:szCs w:val="24"/>
        </w:rPr>
        <w:t>ns</w:t>
      </w:r>
      <w:r w:rsidRPr="00116D9A">
        <w:rPr>
          <w:rFonts w:ascii="Arial" w:hAnsi="Arial" w:cs="Arial"/>
          <w:sz w:val="24"/>
          <w:szCs w:val="24"/>
        </w:rPr>
        <w:t xml:space="preserve"> do Município. </w:t>
      </w: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d) </w:t>
      </w:r>
      <w:r w:rsidRPr="00116D9A">
        <w:rPr>
          <w:rFonts w:ascii="Arial" w:hAnsi="Arial" w:cs="Arial"/>
          <w:sz w:val="24"/>
          <w:szCs w:val="24"/>
        </w:rPr>
        <w:t>as provisões para riscos cíveis e trabalhistas são reconhecidas de acordo com a análise jurídica de cada ação e, dependendo da análise, poderão ser classificadas como passivo contingente ou como passivo exigível. A análise é realizada pelo setor jurídico do Município.</w:t>
      </w:r>
    </w:p>
    <w:p w:rsidR="001D30D3" w:rsidRDefault="001D30D3" w:rsidP="00807064">
      <w:pPr>
        <w:autoSpaceDE w:val="0"/>
        <w:autoSpaceDN w:val="0"/>
        <w:adjustRightInd w:val="0"/>
        <w:spacing w:after="0" w:line="240" w:lineRule="auto"/>
        <w:rPr>
          <w:rFonts w:ascii="Arial" w:hAnsi="Arial" w:cs="Arial"/>
          <w:sz w:val="24"/>
          <w:szCs w:val="24"/>
        </w:rPr>
      </w:pPr>
    </w:p>
    <w:p w:rsidR="005254A5" w:rsidRDefault="005254A5" w:rsidP="00807064">
      <w:pPr>
        <w:autoSpaceDE w:val="0"/>
        <w:autoSpaceDN w:val="0"/>
        <w:adjustRightInd w:val="0"/>
        <w:spacing w:after="0" w:line="240" w:lineRule="auto"/>
        <w:rPr>
          <w:rFonts w:ascii="Arial" w:hAnsi="Arial" w:cs="Arial"/>
          <w:sz w:val="24"/>
          <w:szCs w:val="24"/>
        </w:rPr>
      </w:pPr>
    </w:p>
    <w:p w:rsidR="006E41ED" w:rsidRDefault="006E41ED" w:rsidP="00807064">
      <w:pPr>
        <w:autoSpaceDE w:val="0"/>
        <w:autoSpaceDN w:val="0"/>
        <w:adjustRightInd w:val="0"/>
        <w:spacing w:after="0" w:line="240" w:lineRule="auto"/>
        <w:rPr>
          <w:rFonts w:ascii="Arial" w:hAnsi="Arial" w:cs="Arial"/>
          <w:sz w:val="24"/>
          <w:szCs w:val="24"/>
        </w:rPr>
      </w:pPr>
    </w:p>
    <w:p w:rsidR="006E41ED" w:rsidRDefault="006E41ED" w:rsidP="00807064">
      <w:pPr>
        <w:autoSpaceDE w:val="0"/>
        <w:autoSpaceDN w:val="0"/>
        <w:adjustRightInd w:val="0"/>
        <w:spacing w:after="0" w:line="240" w:lineRule="auto"/>
        <w:rPr>
          <w:rFonts w:ascii="Arial" w:hAnsi="Arial" w:cs="Arial"/>
          <w:sz w:val="24"/>
          <w:szCs w:val="24"/>
        </w:rPr>
      </w:pPr>
    </w:p>
    <w:p w:rsidR="006E41ED" w:rsidRDefault="006E41ED" w:rsidP="00807064">
      <w:pPr>
        <w:autoSpaceDE w:val="0"/>
        <w:autoSpaceDN w:val="0"/>
        <w:adjustRightInd w:val="0"/>
        <w:spacing w:after="0" w:line="240" w:lineRule="auto"/>
        <w:rPr>
          <w:rFonts w:ascii="Arial" w:hAnsi="Arial" w:cs="Arial"/>
          <w:sz w:val="24"/>
          <w:szCs w:val="24"/>
        </w:rPr>
      </w:pPr>
    </w:p>
    <w:p w:rsidR="006E41ED" w:rsidRDefault="006E41ED" w:rsidP="00807064">
      <w:pPr>
        <w:autoSpaceDE w:val="0"/>
        <w:autoSpaceDN w:val="0"/>
        <w:adjustRightInd w:val="0"/>
        <w:spacing w:after="0" w:line="240" w:lineRule="auto"/>
        <w:rPr>
          <w:rFonts w:ascii="Arial" w:hAnsi="Arial" w:cs="Arial"/>
          <w:sz w:val="24"/>
          <w:szCs w:val="24"/>
        </w:rPr>
      </w:pPr>
    </w:p>
    <w:p w:rsidR="006E41ED" w:rsidRDefault="006E41ED" w:rsidP="00807064">
      <w:pPr>
        <w:autoSpaceDE w:val="0"/>
        <w:autoSpaceDN w:val="0"/>
        <w:adjustRightInd w:val="0"/>
        <w:spacing w:after="0" w:line="240" w:lineRule="auto"/>
        <w:rPr>
          <w:rFonts w:ascii="Arial" w:hAnsi="Arial" w:cs="Arial"/>
          <w:sz w:val="24"/>
          <w:szCs w:val="24"/>
        </w:rPr>
      </w:pPr>
    </w:p>
    <w:p w:rsidR="006E41ED" w:rsidRPr="00116D9A" w:rsidRDefault="006E41ED" w:rsidP="00807064">
      <w:pPr>
        <w:autoSpaceDE w:val="0"/>
        <w:autoSpaceDN w:val="0"/>
        <w:adjustRightInd w:val="0"/>
        <w:spacing w:after="0" w:line="240" w:lineRule="auto"/>
        <w:rPr>
          <w:rFonts w:ascii="Arial" w:hAnsi="Arial" w:cs="Arial"/>
          <w:sz w:val="24"/>
          <w:szCs w:val="24"/>
        </w:rPr>
      </w:pPr>
    </w:p>
    <w:p w:rsidR="008A3226" w:rsidRPr="00116D9A" w:rsidRDefault="008A3226" w:rsidP="00807064">
      <w:pPr>
        <w:autoSpaceDE w:val="0"/>
        <w:autoSpaceDN w:val="0"/>
        <w:adjustRightInd w:val="0"/>
        <w:spacing w:after="0" w:line="240" w:lineRule="auto"/>
        <w:rPr>
          <w:rFonts w:ascii="Arial" w:hAnsi="Arial" w:cs="Arial"/>
          <w:sz w:val="24"/>
          <w:szCs w:val="24"/>
        </w:rPr>
      </w:pPr>
    </w:p>
    <w:p w:rsidR="008A3226" w:rsidRPr="00116D9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A7DC9" w:rsidRPr="00116D9A" w:rsidRDefault="00DA7DC9"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1A008C" w:rsidRPr="00116D9A"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1A008C" w:rsidRPr="00116D9A" w:rsidRDefault="001A008C" w:rsidP="00807064">
      <w:pPr>
        <w:autoSpaceDE w:val="0"/>
        <w:autoSpaceDN w:val="0"/>
        <w:adjustRightInd w:val="0"/>
        <w:spacing w:after="0" w:line="240" w:lineRule="auto"/>
        <w:jc w:val="both"/>
        <w:rPr>
          <w:rFonts w:ascii="Arial" w:hAnsi="Arial" w:cs="Arial"/>
          <w:b/>
          <w:bCs/>
          <w:sz w:val="24"/>
          <w:szCs w:val="24"/>
        </w:rPr>
      </w:pPr>
    </w:p>
    <w:p w:rsidR="0026351F" w:rsidRPr="00116D9A" w:rsidRDefault="0026351F" w:rsidP="00807064">
      <w:pPr>
        <w:autoSpaceDE w:val="0"/>
        <w:autoSpaceDN w:val="0"/>
        <w:adjustRightInd w:val="0"/>
        <w:spacing w:after="0" w:line="240" w:lineRule="auto"/>
        <w:jc w:val="both"/>
        <w:rPr>
          <w:rFonts w:ascii="Arial" w:hAnsi="Arial" w:cs="Arial"/>
          <w:b/>
          <w:bCs/>
        </w:rPr>
      </w:pPr>
    </w:p>
    <w:p w:rsidR="008A3226" w:rsidRPr="00116D9A"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Caixa e equivalentes de caixa</w:t>
      </w:r>
    </w:p>
    <w:tbl>
      <w:tblPr>
        <w:tblStyle w:val="TabeladeGrade4-nfase52"/>
        <w:tblW w:w="9180" w:type="dxa"/>
        <w:tblInd w:w="108" w:type="dxa"/>
        <w:tblLook w:val="04A0" w:firstRow="1" w:lastRow="0" w:firstColumn="1" w:lastColumn="0" w:noHBand="0" w:noVBand="1"/>
      </w:tblPr>
      <w:tblGrid>
        <w:gridCol w:w="1560"/>
        <w:gridCol w:w="3726"/>
        <w:gridCol w:w="1746"/>
        <w:gridCol w:w="2148"/>
      </w:tblGrid>
      <w:tr w:rsidR="004067A8"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067A8" w:rsidRPr="00116D9A" w:rsidRDefault="004067A8" w:rsidP="00542D28">
            <w:pPr>
              <w:autoSpaceDE w:val="0"/>
              <w:autoSpaceDN w:val="0"/>
              <w:adjustRightInd w:val="0"/>
              <w:rPr>
                <w:rFonts w:ascii="Arial" w:hAnsi="Arial" w:cs="Arial"/>
                <w:b w:val="0"/>
                <w:color w:val="auto"/>
                <w:sz w:val="20"/>
                <w:szCs w:val="20"/>
              </w:rPr>
            </w:pPr>
            <w:r w:rsidRPr="00116D9A">
              <w:rPr>
                <w:rFonts w:ascii="Arial" w:hAnsi="Arial" w:cs="Arial"/>
                <w:color w:val="auto"/>
                <w:sz w:val="20"/>
                <w:szCs w:val="20"/>
              </w:rPr>
              <w:t>CONTA</w:t>
            </w:r>
          </w:p>
        </w:tc>
        <w:tc>
          <w:tcPr>
            <w:tcW w:w="3726"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116D9A">
              <w:rPr>
                <w:rFonts w:ascii="Arial" w:hAnsi="Arial" w:cs="Arial"/>
                <w:color w:val="auto"/>
                <w:sz w:val="20"/>
                <w:szCs w:val="20"/>
              </w:rPr>
              <w:t>DESCRIÇÃO</w:t>
            </w:r>
          </w:p>
        </w:tc>
        <w:tc>
          <w:tcPr>
            <w:tcW w:w="1746"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67A8">
              <w:rPr>
                <w:rFonts w:ascii="Arial" w:hAnsi="Arial" w:cs="Arial"/>
                <w:color w:val="auto"/>
                <w:sz w:val="20"/>
                <w:szCs w:val="20"/>
              </w:rPr>
              <w:t>2019</w:t>
            </w:r>
          </w:p>
        </w:tc>
        <w:tc>
          <w:tcPr>
            <w:tcW w:w="2148"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color w:val="auto"/>
                <w:sz w:val="20"/>
                <w:szCs w:val="20"/>
              </w:rPr>
              <w:t>2018</w:t>
            </w:r>
          </w:p>
        </w:tc>
      </w:tr>
      <w:tr w:rsidR="004067A8"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067A8" w:rsidRPr="00116D9A" w:rsidRDefault="004067A8" w:rsidP="00542D28">
            <w:pPr>
              <w:autoSpaceDE w:val="0"/>
              <w:autoSpaceDN w:val="0"/>
              <w:adjustRightInd w:val="0"/>
              <w:rPr>
                <w:rFonts w:ascii="Arial" w:hAnsi="Arial" w:cs="Arial"/>
                <w:b w:val="0"/>
                <w:sz w:val="20"/>
                <w:szCs w:val="20"/>
              </w:rPr>
            </w:pPr>
            <w:r w:rsidRPr="00116D9A">
              <w:rPr>
                <w:rFonts w:ascii="Arial" w:hAnsi="Arial" w:cs="Arial"/>
                <w:b w:val="0"/>
                <w:sz w:val="20"/>
                <w:szCs w:val="20"/>
              </w:rPr>
              <w:t>1.1.1.1.1.19.xx</w:t>
            </w:r>
          </w:p>
        </w:tc>
        <w:tc>
          <w:tcPr>
            <w:tcW w:w="3726" w:type="dxa"/>
            <w:vAlign w:val="center"/>
          </w:tcPr>
          <w:p w:rsidR="004067A8" w:rsidRPr="00116D9A" w:rsidRDefault="004067A8"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6D9A">
              <w:rPr>
                <w:rFonts w:ascii="Arial" w:hAnsi="Arial" w:cs="Arial"/>
                <w:sz w:val="20"/>
                <w:szCs w:val="20"/>
              </w:rPr>
              <w:t>Banco conta movimento e vinculada</w:t>
            </w:r>
          </w:p>
        </w:tc>
        <w:tc>
          <w:tcPr>
            <w:tcW w:w="1746" w:type="dxa"/>
            <w:vAlign w:val="center"/>
          </w:tcPr>
          <w:p w:rsidR="004067A8" w:rsidRDefault="004067A8"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2.642.193,26</w:t>
            </w:r>
          </w:p>
        </w:tc>
        <w:tc>
          <w:tcPr>
            <w:tcW w:w="2148" w:type="dxa"/>
            <w:vAlign w:val="center"/>
          </w:tcPr>
          <w:p w:rsidR="004067A8" w:rsidRPr="00116D9A" w:rsidRDefault="004067A8"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1.974.101,91</w:t>
            </w:r>
          </w:p>
        </w:tc>
      </w:tr>
      <w:tr w:rsidR="004067A8"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5286" w:type="dxa"/>
            <w:gridSpan w:val="2"/>
            <w:vAlign w:val="center"/>
          </w:tcPr>
          <w:p w:rsidR="004067A8" w:rsidRPr="00116D9A" w:rsidRDefault="004067A8" w:rsidP="00542D28">
            <w:pPr>
              <w:autoSpaceDE w:val="0"/>
              <w:autoSpaceDN w:val="0"/>
              <w:adjustRightInd w:val="0"/>
              <w:rPr>
                <w:rFonts w:ascii="Arial" w:hAnsi="Arial" w:cs="Arial"/>
                <w:b w:val="0"/>
                <w:sz w:val="20"/>
                <w:szCs w:val="20"/>
              </w:rPr>
            </w:pPr>
            <w:r w:rsidRPr="00116D9A">
              <w:rPr>
                <w:rFonts w:ascii="Arial" w:hAnsi="Arial" w:cs="Arial"/>
                <w:sz w:val="20"/>
                <w:szCs w:val="20"/>
              </w:rPr>
              <w:t>Total</w:t>
            </w:r>
          </w:p>
        </w:tc>
        <w:tc>
          <w:tcPr>
            <w:tcW w:w="1746" w:type="dxa"/>
            <w:vAlign w:val="center"/>
          </w:tcPr>
          <w:p w:rsidR="004067A8" w:rsidRDefault="004067A8" w:rsidP="00542D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2.642.193,26</w:t>
            </w:r>
          </w:p>
        </w:tc>
        <w:tc>
          <w:tcPr>
            <w:tcW w:w="2148" w:type="dxa"/>
            <w:vAlign w:val="center"/>
          </w:tcPr>
          <w:p w:rsidR="004067A8" w:rsidRPr="00116D9A" w:rsidRDefault="004067A8" w:rsidP="00542D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1.974.101,91</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254A5" w:rsidRPr="00FA2633"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w:t>
      </w:r>
      <w:r>
        <w:rPr>
          <w:rFonts w:ascii="Arial" w:hAnsi="Arial" w:cs="Arial"/>
          <w:bCs/>
          <w:sz w:val="24"/>
          <w:szCs w:val="24"/>
        </w:rPr>
        <w:t>nanceiros (disponibilidades), do Município, em 31 de dezembro dos exercícios de</w:t>
      </w:r>
      <w:r w:rsidRPr="00820794">
        <w:rPr>
          <w:rFonts w:ascii="Arial" w:hAnsi="Arial" w:cs="Arial"/>
          <w:bCs/>
          <w:sz w:val="24"/>
          <w:szCs w:val="24"/>
        </w:rPr>
        <w:t xml:space="preserve"> </w:t>
      </w:r>
      <w:r>
        <w:rPr>
          <w:rFonts w:ascii="Arial" w:hAnsi="Arial" w:cs="Arial"/>
          <w:bCs/>
          <w:sz w:val="24"/>
          <w:szCs w:val="24"/>
        </w:rPr>
        <w:t xml:space="preserve">2018 e 2019. </w:t>
      </w:r>
    </w:p>
    <w:p w:rsidR="005254A5" w:rsidRDefault="005254A5" w:rsidP="005254A5">
      <w:pPr>
        <w:autoSpaceDE w:val="0"/>
        <w:autoSpaceDN w:val="0"/>
        <w:adjustRightInd w:val="0"/>
        <w:spacing w:after="0" w:line="240" w:lineRule="auto"/>
        <w:jc w:val="both"/>
        <w:rPr>
          <w:rFonts w:ascii="Arial" w:hAnsi="Arial" w:cs="Arial"/>
          <w:bCs/>
          <w:color w:val="FF0000"/>
          <w:sz w:val="24"/>
          <w:szCs w:val="24"/>
        </w:rPr>
      </w:pPr>
    </w:p>
    <w:p w:rsidR="005254A5" w:rsidRPr="00820794" w:rsidRDefault="005254A5" w:rsidP="005254A5">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Prefeitura Municipal, sendo </w:t>
      </w:r>
      <w:r w:rsidRPr="00820794">
        <w:rPr>
          <w:rFonts w:ascii="Arial" w:hAnsi="Arial" w:cs="Arial"/>
          <w:bCs/>
          <w:sz w:val="24"/>
          <w:szCs w:val="24"/>
        </w:rPr>
        <w:t>vedada a fragmentação em caixas especiais.</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5254A5" w:rsidRPr="00820794"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do Tribunal de Contas de Santa Catarina, TCE/SC, vigente em cada exercício. Tratam-se de recursos ordinários e vinculados. Os recursos ordinários são de livre aplicação nos gastos públicos, enquanto os recursos vinculados são aplicados na finalidade específica de cada programa, convênio, operação de crédito e outros.</w:t>
      </w:r>
    </w:p>
    <w:p w:rsidR="005254A5" w:rsidRPr="00820794" w:rsidRDefault="005254A5" w:rsidP="005254A5">
      <w:pPr>
        <w:autoSpaceDE w:val="0"/>
        <w:autoSpaceDN w:val="0"/>
        <w:adjustRightInd w:val="0"/>
        <w:spacing w:after="0" w:line="240" w:lineRule="auto"/>
        <w:jc w:val="both"/>
        <w:rPr>
          <w:rFonts w:ascii="Arial" w:hAnsi="Arial" w:cs="Arial"/>
          <w:bCs/>
          <w:sz w:val="24"/>
          <w:szCs w:val="24"/>
        </w:rPr>
      </w:pPr>
    </w:p>
    <w:p w:rsidR="005254A5" w:rsidRDefault="005254A5" w:rsidP="005254A5">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5254A5" w:rsidRDefault="005254A5"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254A5" w:rsidRPr="00116D9A" w:rsidRDefault="005254A5"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b</w:t>
      </w:r>
      <w:r w:rsidR="008A3226" w:rsidRPr="00116D9A">
        <w:rPr>
          <w:rFonts w:ascii="Arial" w:hAnsi="Arial" w:cs="Arial"/>
          <w:color w:val="215868" w:themeColor="accent5" w:themeShade="80"/>
          <w:sz w:val="24"/>
          <w:szCs w:val="24"/>
        </w:rPr>
        <w:t>) Direitos, créditos e valores a curto prazo</w:t>
      </w:r>
    </w:p>
    <w:tbl>
      <w:tblPr>
        <w:tblStyle w:val="TabeladeGrade4-nfase52"/>
        <w:tblW w:w="9180" w:type="dxa"/>
        <w:tblInd w:w="108" w:type="dxa"/>
        <w:tblLook w:val="04A0" w:firstRow="1" w:lastRow="0" w:firstColumn="1" w:lastColumn="0" w:noHBand="0" w:noVBand="1"/>
      </w:tblPr>
      <w:tblGrid>
        <w:gridCol w:w="1276"/>
        <w:gridCol w:w="4791"/>
        <w:gridCol w:w="1397"/>
        <w:gridCol w:w="1716"/>
      </w:tblGrid>
      <w:tr w:rsidR="004067A8"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067A8" w:rsidRPr="00116D9A" w:rsidRDefault="004067A8" w:rsidP="00542D28">
            <w:pPr>
              <w:autoSpaceDE w:val="0"/>
              <w:autoSpaceDN w:val="0"/>
              <w:adjustRightInd w:val="0"/>
              <w:rPr>
                <w:rFonts w:ascii="Arial" w:hAnsi="Arial" w:cs="Arial"/>
                <w:color w:val="000000" w:themeColor="text1"/>
                <w:sz w:val="20"/>
                <w:szCs w:val="20"/>
              </w:rPr>
            </w:pPr>
            <w:r w:rsidRPr="00116D9A">
              <w:rPr>
                <w:rFonts w:ascii="Arial" w:hAnsi="Arial" w:cs="Arial"/>
                <w:color w:val="000000" w:themeColor="text1"/>
                <w:sz w:val="20"/>
                <w:szCs w:val="20"/>
              </w:rPr>
              <w:t>CONTA</w:t>
            </w:r>
          </w:p>
        </w:tc>
        <w:tc>
          <w:tcPr>
            <w:tcW w:w="4791"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DESCRIÇÃO</w:t>
            </w:r>
          </w:p>
        </w:tc>
        <w:tc>
          <w:tcPr>
            <w:tcW w:w="1397"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2019</w:t>
            </w:r>
          </w:p>
        </w:tc>
        <w:tc>
          <w:tcPr>
            <w:tcW w:w="1716"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2018</w:t>
            </w:r>
          </w:p>
        </w:tc>
      </w:tr>
      <w:tr w:rsidR="004067A8"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067A8" w:rsidRPr="00116D9A" w:rsidRDefault="004067A8" w:rsidP="00542D28">
            <w:pPr>
              <w:autoSpaceDE w:val="0"/>
              <w:autoSpaceDN w:val="0"/>
              <w:adjustRightInd w:val="0"/>
              <w:rPr>
                <w:rFonts w:ascii="Arial" w:hAnsi="Arial" w:cs="Arial"/>
                <w:b w:val="0"/>
                <w:bCs w:val="0"/>
                <w:color w:val="000000" w:themeColor="text1"/>
                <w:sz w:val="20"/>
                <w:szCs w:val="20"/>
              </w:rPr>
            </w:pPr>
            <w:r w:rsidRPr="00116D9A">
              <w:rPr>
                <w:rFonts w:ascii="Arial" w:hAnsi="Arial" w:cs="Arial"/>
                <w:b w:val="0"/>
                <w:color w:val="000000" w:themeColor="text1"/>
                <w:sz w:val="20"/>
                <w:szCs w:val="20"/>
              </w:rPr>
              <w:t>1.1.2.1.1.xx</w:t>
            </w:r>
          </w:p>
        </w:tc>
        <w:tc>
          <w:tcPr>
            <w:tcW w:w="4791" w:type="dxa"/>
            <w:vAlign w:val="center"/>
          </w:tcPr>
          <w:p w:rsidR="004067A8" w:rsidRPr="00116D9A" w:rsidRDefault="004067A8"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color w:val="000000" w:themeColor="text1"/>
                <w:sz w:val="20"/>
                <w:szCs w:val="20"/>
              </w:rPr>
              <w:t>Créditos tributários a receber</w:t>
            </w:r>
          </w:p>
        </w:tc>
        <w:tc>
          <w:tcPr>
            <w:tcW w:w="1397" w:type="dxa"/>
            <w:vAlign w:val="center"/>
          </w:tcPr>
          <w:p w:rsidR="004067A8" w:rsidRDefault="004067A8" w:rsidP="00594F2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4.989,38</w:t>
            </w:r>
          </w:p>
        </w:tc>
        <w:tc>
          <w:tcPr>
            <w:tcW w:w="1716" w:type="dxa"/>
            <w:vAlign w:val="center"/>
          </w:tcPr>
          <w:p w:rsidR="004067A8" w:rsidRPr="00116D9A" w:rsidRDefault="004067A8" w:rsidP="00594F2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861,89</w:t>
            </w:r>
          </w:p>
        </w:tc>
      </w:tr>
      <w:tr w:rsidR="004067A8"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067A8" w:rsidRPr="00116D9A" w:rsidRDefault="004067A8" w:rsidP="008B7AD0">
            <w:pPr>
              <w:autoSpaceDE w:val="0"/>
              <w:autoSpaceDN w:val="0"/>
              <w:adjustRightInd w:val="0"/>
              <w:rPr>
                <w:rFonts w:ascii="Arial" w:hAnsi="Arial" w:cs="Arial"/>
                <w:b w:val="0"/>
                <w:color w:val="000000" w:themeColor="text1"/>
                <w:sz w:val="20"/>
                <w:szCs w:val="20"/>
              </w:rPr>
            </w:pPr>
            <w:r w:rsidRPr="00116D9A">
              <w:rPr>
                <w:rFonts w:ascii="Arial" w:hAnsi="Arial" w:cs="Arial"/>
                <w:b w:val="0"/>
                <w:color w:val="000000" w:themeColor="text1"/>
                <w:sz w:val="20"/>
                <w:szCs w:val="20"/>
              </w:rPr>
              <w:t>1.1.2.3.</w:t>
            </w:r>
            <w:r w:rsidR="008B7AD0">
              <w:rPr>
                <w:rFonts w:ascii="Arial" w:hAnsi="Arial" w:cs="Arial"/>
                <w:b w:val="0"/>
                <w:color w:val="000000" w:themeColor="text1"/>
                <w:sz w:val="20"/>
                <w:szCs w:val="20"/>
              </w:rPr>
              <w:t>3</w:t>
            </w:r>
          </w:p>
        </w:tc>
        <w:tc>
          <w:tcPr>
            <w:tcW w:w="4791" w:type="dxa"/>
            <w:vAlign w:val="center"/>
          </w:tcPr>
          <w:p w:rsidR="004067A8" w:rsidRPr="00116D9A" w:rsidRDefault="004067A8" w:rsidP="00542D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Créditos de transferências a receber INTER OFSS</w:t>
            </w:r>
          </w:p>
        </w:tc>
        <w:tc>
          <w:tcPr>
            <w:tcW w:w="1397" w:type="dxa"/>
            <w:vAlign w:val="center"/>
          </w:tcPr>
          <w:p w:rsidR="004067A8" w:rsidRDefault="004067A8" w:rsidP="00594F2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421.284,72</w:t>
            </w:r>
          </w:p>
        </w:tc>
        <w:tc>
          <w:tcPr>
            <w:tcW w:w="1716" w:type="dxa"/>
            <w:vAlign w:val="center"/>
          </w:tcPr>
          <w:p w:rsidR="004067A8" w:rsidRPr="00116D9A" w:rsidRDefault="004067A8" w:rsidP="00594F2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824.324.16</w:t>
            </w:r>
          </w:p>
        </w:tc>
      </w:tr>
      <w:tr w:rsidR="004067A8"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tcPr>
          <w:p w:rsidR="004067A8" w:rsidRPr="00116D9A" w:rsidRDefault="004067A8" w:rsidP="00807064">
            <w:pPr>
              <w:autoSpaceDE w:val="0"/>
              <w:autoSpaceDN w:val="0"/>
              <w:adjustRightInd w:val="0"/>
              <w:jc w:val="both"/>
              <w:rPr>
                <w:rFonts w:ascii="Arial" w:hAnsi="Arial" w:cs="Arial"/>
                <w:b w:val="0"/>
                <w:color w:val="000000" w:themeColor="text1"/>
                <w:sz w:val="20"/>
                <w:szCs w:val="20"/>
              </w:rPr>
            </w:pPr>
            <w:r>
              <w:rPr>
                <w:rFonts w:ascii="Arial" w:hAnsi="Arial" w:cs="Arial"/>
                <w:b w:val="0"/>
                <w:color w:val="000000" w:themeColor="text1"/>
                <w:sz w:val="20"/>
                <w:szCs w:val="20"/>
              </w:rPr>
              <w:t>1.1.3.1.1.xx</w:t>
            </w:r>
          </w:p>
        </w:tc>
        <w:tc>
          <w:tcPr>
            <w:tcW w:w="4791" w:type="dxa"/>
          </w:tcPr>
          <w:p w:rsidR="004067A8" w:rsidRPr="00116D9A" w:rsidRDefault="004067A8"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Adiantamentos Concedidos</w:t>
            </w:r>
          </w:p>
        </w:tc>
        <w:tc>
          <w:tcPr>
            <w:tcW w:w="1397" w:type="dxa"/>
          </w:tcPr>
          <w:p w:rsidR="004067A8" w:rsidRDefault="004067A8"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117.068,39</w:t>
            </w:r>
          </w:p>
        </w:tc>
        <w:tc>
          <w:tcPr>
            <w:tcW w:w="1716" w:type="dxa"/>
          </w:tcPr>
          <w:p w:rsidR="004067A8" w:rsidRPr="00116D9A" w:rsidRDefault="004067A8"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86.484,25</w:t>
            </w:r>
          </w:p>
        </w:tc>
      </w:tr>
      <w:tr w:rsidR="004067A8"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276" w:type="dxa"/>
          </w:tcPr>
          <w:p w:rsidR="004067A8" w:rsidRPr="00116D9A" w:rsidRDefault="004067A8" w:rsidP="00807064">
            <w:pPr>
              <w:autoSpaceDE w:val="0"/>
              <w:autoSpaceDN w:val="0"/>
              <w:adjustRightInd w:val="0"/>
              <w:jc w:val="both"/>
              <w:rPr>
                <w:rFonts w:ascii="Arial" w:hAnsi="Arial" w:cs="Arial"/>
                <w:b w:val="0"/>
                <w:color w:val="000000" w:themeColor="text1"/>
                <w:sz w:val="20"/>
                <w:szCs w:val="20"/>
              </w:rPr>
            </w:pPr>
            <w:r>
              <w:rPr>
                <w:rFonts w:ascii="Arial" w:hAnsi="Arial" w:cs="Arial"/>
                <w:b w:val="0"/>
                <w:color w:val="000000" w:themeColor="text1"/>
                <w:sz w:val="20"/>
                <w:szCs w:val="20"/>
              </w:rPr>
              <w:t>1.1.3.4.1.xx</w:t>
            </w:r>
          </w:p>
        </w:tc>
        <w:tc>
          <w:tcPr>
            <w:tcW w:w="4791" w:type="dxa"/>
          </w:tcPr>
          <w:p w:rsidR="004067A8" w:rsidRPr="00116D9A" w:rsidRDefault="004067A8" w:rsidP="00DA36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DA3648">
              <w:rPr>
                <w:rFonts w:ascii="Arial" w:hAnsi="Arial" w:cs="Arial"/>
                <w:bCs/>
                <w:color w:val="000000" w:themeColor="text1"/>
                <w:sz w:val="20"/>
                <w:szCs w:val="20"/>
              </w:rPr>
              <w:t>Créditos por Danos ao Patrimônio</w:t>
            </w:r>
          </w:p>
        </w:tc>
        <w:tc>
          <w:tcPr>
            <w:tcW w:w="1397" w:type="dxa"/>
          </w:tcPr>
          <w:p w:rsidR="004067A8" w:rsidRPr="00DA3648" w:rsidRDefault="004067A8" w:rsidP="00DA3648">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12.758,13</w:t>
            </w:r>
          </w:p>
        </w:tc>
        <w:tc>
          <w:tcPr>
            <w:tcW w:w="1716" w:type="dxa"/>
          </w:tcPr>
          <w:p w:rsidR="004067A8" w:rsidRPr="00116D9A" w:rsidRDefault="004067A8" w:rsidP="00DA3648">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DA3648">
              <w:rPr>
                <w:rFonts w:ascii="Arial" w:hAnsi="Arial" w:cs="Arial"/>
                <w:bCs/>
                <w:color w:val="000000" w:themeColor="text1"/>
                <w:sz w:val="20"/>
                <w:szCs w:val="20"/>
              </w:rPr>
              <w:t>12</w:t>
            </w:r>
            <w:r>
              <w:rPr>
                <w:rFonts w:ascii="Arial" w:hAnsi="Arial" w:cs="Arial"/>
                <w:bCs/>
                <w:color w:val="000000" w:themeColor="text1"/>
                <w:sz w:val="20"/>
                <w:szCs w:val="20"/>
              </w:rPr>
              <w:t>.</w:t>
            </w:r>
            <w:r w:rsidRPr="00DA3648">
              <w:rPr>
                <w:rFonts w:ascii="Arial" w:hAnsi="Arial" w:cs="Arial"/>
                <w:bCs/>
                <w:color w:val="000000" w:themeColor="text1"/>
                <w:sz w:val="20"/>
                <w:szCs w:val="20"/>
              </w:rPr>
              <w:t>758,13</w:t>
            </w:r>
          </w:p>
        </w:tc>
      </w:tr>
      <w:tr w:rsidR="004067A8"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tcPr>
          <w:p w:rsidR="004067A8" w:rsidRPr="00116D9A" w:rsidRDefault="004067A8" w:rsidP="00807064">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1.1.9.xx</w:t>
            </w:r>
          </w:p>
        </w:tc>
        <w:tc>
          <w:tcPr>
            <w:tcW w:w="4791" w:type="dxa"/>
          </w:tcPr>
          <w:p w:rsidR="004067A8" w:rsidRPr="00116D9A" w:rsidRDefault="004067A8"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bCs/>
                <w:color w:val="000000" w:themeColor="text1"/>
                <w:sz w:val="20"/>
                <w:szCs w:val="20"/>
              </w:rPr>
              <w:t>Variações patrimoniais pagas antecipadamente</w:t>
            </w:r>
          </w:p>
        </w:tc>
        <w:tc>
          <w:tcPr>
            <w:tcW w:w="1397" w:type="dxa"/>
          </w:tcPr>
          <w:p w:rsidR="004067A8" w:rsidRDefault="00F2128D"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44.124,33</w:t>
            </w:r>
          </w:p>
        </w:tc>
        <w:tc>
          <w:tcPr>
            <w:tcW w:w="1716" w:type="dxa"/>
          </w:tcPr>
          <w:p w:rsidR="004067A8" w:rsidRPr="00116D9A" w:rsidRDefault="004067A8"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76.710,67</w:t>
            </w:r>
          </w:p>
        </w:tc>
      </w:tr>
      <w:tr w:rsidR="004067A8"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6067" w:type="dxa"/>
            <w:gridSpan w:val="2"/>
          </w:tcPr>
          <w:p w:rsidR="004067A8" w:rsidRPr="00116D9A" w:rsidRDefault="004067A8" w:rsidP="00B20E4B">
            <w:pPr>
              <w:autoSpaceDE w:val="0"/>
              <w:autoSpaceDN w:val="0"/>
              <w:adjustRightInd w:val="0"/>
              <w:jc w:val="center"/>
              <w:rPr>
                <w:rFonts w:ascii="Arial" w:hAnsi="Arial" w:cs="Arial"/>
                <w:bCs w:val="0"/>
                <w:color w:val="000000" w:themeColor="text1"/>
                <w:sz w:val="20"/>
                <w:szCs w:val="20"/>
              </w:rPr>
            </w:pPr>
            <w:r w:rsidRPr="00116D9A">
              <w:rPr>
                <w:rFonts w:ascii="Arial" w:hAnsi="Arial" w:cs="Arial"/>
                <w:sz w:val="20"/>
                <w:szCs w:val="20"/>
              </w:rPr>
              <w:t>Total</w:t>
            </w:r>
          </w:p>
        </w:tc>
        <w:tc>
          <w:tcPr>
            <w:tcW w:w="1397" w:type="dxa"/>
          </w:tcPr>
          <w:p w:rsidR="004067A8" w:rsidRDefault="00F2128D" w:rsidP="0004209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600.224,95</w:t>
            </w:r>
          </w:p>
        </w:tc>
        <w:tc>
          <w:tcPr>
            <w:tcW w:w="1716" w:type="dxa"/>
          </w:tcPr>
          <w:p w:rsidR="004067A8" w:rsidRPr="00116D9A" w:rsidRDefault="004067A8" w:rsidP="0004209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1.001.139,10</w:t>
            </w:r>
          </w:p>
        </w:tc>
      </w:tr>
    </w:tbl>
    <w:p w:rsidR="008A3226" w:rsidRDefault="008A3226" w:rsidP="00807064">
      <w:pPr>
        <w:autoSpaceDE w:val="0"/>
        <w:autoSpaceDN w:val="0"/>
        <w:adjustRightInd w:val="0"/>
        <w:spacing w:after="0" w:line="240" w:lineRule="auto"/>
        <w:jc w:val="both"/>
        <w:rPr>
          <w:rFonts w:ascii="Arial" w:hAnsi="Arial" w:cs="Arial"/>
          <w:bCs/>
        </w:rPr>
      </w:pPr>
    </w:p>
    <w:p w:rsidR="00FC3B70" w:rsidRDefault="00FC3B70" w:rsidP="00807064">
      <w:pPr>
        <w:autoSpaceDE w:val="0"/>
        <w:autoSpaceDN w:val="0"/>
        <w:adjustRightInd w:val="0"/>
        <w:spacing w:after="0" w:line="240" w:lineRule="auto"/>
        <w:jc w:val="both"/>
        <w:rPr>
          <w:rFonts w:ascii="Arial" w:hAnsi="Arial" w:cs="Arial"/>
          <w:bCs/>
        </w:rPr>
      </w:pPr>
    </w:p>
    <w:p w:rsidR="00FC3B70" w:rsidRDefault="00FC3B70" w:rsidP="00807064">
      <w:pPr>
        <w:autoSpaceDE w:val="0"/>
        <w:autoSpaceDN w:val="0"/>
        <w:adjustRightInd w:val="0"/>
        <w:spacing w:after="0" w:line="240" w:lineRule="auto"/>
        <w:jc w:val="both"/>
        <w:rPr>
          <w:rFonts w:ascii="Arial" w:hAnsi="Arial" w:cs="Arial"/>
          <w:bCs/>
        </w:rPr>
      </w:pPr>
    </w:p>
    <w:p w:rsidR="00FC3B70" w:rsidRPr="00116D9A" w:rsidRDefault="00FC3B70" w:rsidP="00807064">
      <w:pPr>
        <w:autoSpaceDE w:val="0"/>
        <w:autoSpaceDN w:val="0"/>
        <w:adjustRightInd w:val="0"/>
        <w:spacing w:after="0" w:line="240" w:lineRule="auto"/>
        <w:jc w:val="both"/>
        <w:rPr>
          <w:rFonts w:ascii="Arial" w:hAnsi="Arial" w:cs="Arial"/>
          <w:bCs/>
        </w:rPr>
      </w:pPr>
    </w:p>
    <w:p w:rsidR="003C4CC7" w:rsidRDefault="003C4CC7" w:rsidP="003C4CC7">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Os créditos tributários (receita lançada) a receber registraram valores durante o exercício de 201</w:t>
      </w:r>
      <w:r w:rsidR="00744919">
        <w:rPr>
          <w:rFonts w:ascii="Arial" w:hAnsi="Arial" w:cs="Arial"/>
          <w:bCs/>
          <w:sz w:val="24"/>
          <w:szCs w:val="24"/>
        </w:rPr>
        <w:t>9</w:t>
      </w:r>
      <w:r w:rsidRPr="00B5478B">
        <w:rPr>
          <w:rFonts w:ascii="Arial" w:hAnsi="Arial" w:cs="Arial"/>
          <w:bCs/>
          <w:sz w:val="24"/>
          <w:szCs w:val="24"/>
        </w:rPr>
        <w:t>, relativos a tributos dos quais o fato gerador já ocorreu, e tem fundamento legal em lei municipal</w:t>
      </w:r>
      <w:r>
        <w:rPr>
          <w:rFonts w:ascii="Arial" w:hAnsi="Arial" w:cs="Arial"/>
          <w:bCs/>
          <w:sz w:val="24"/>
          <w:szCs w:val="24"/>
        </w:rPr>
        <w:t>.</w:t>
      </w:r>
    </w:p>
    <w:p w:rsidR="00CD170A" w:rsidRPr="00116D9A" w:rsidRDefault="00CD170A" w:rsidP="00807064">
      <w:pPr>
        <w:autoSpaceDE w:val="0"/>
        <w:autoSpaceDN w:val="0"/>
        <w:adjustRightInd w:val="0"/>
        <w:spacing w:after="0" w:line="240" w:lineRule="auto"/>
        <w:jc w:val="both"/>
        <w:rPr>
          <w:rFonts w:ascii="Arial" w:hAnsi="Arial" w:cs="Arial"/>
          <w:bCs/>
          <w:sz w:val="24"/>
          <w:szCs w:val="24"/>
        </w:rPr>
      </w:pPr>
    </w:p>
    <w:p w:rsidR="003C4CC7" w:rsidRPr="00B5478B" w:rsidRDefault="003C4CC7" w:rsidP="003C4CC7">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valor relativo a</w:t>
      </w:r>
      <w:r>
        <w:rPr>
          <w:rFonts w:ascii="Arial" w:hAnsi="Arial" w:cs="Arial"/>
          <w:bCs/>
          <w:sz w:val="24"/>
          <w:szCs w:val="24"/>
        </w:rPr>
        <w:t>os</w:t>
      </w:r>
      <w:r w:rsidRPr="00B5478B">
        <w:rPr>
          <w:rFonts w:ascii="Arial" w:hAnsi="Arial" w:cs="Arial"/>
          <w:bCs/>
          <w:sz w:val="24"/>
          <w:szCs w:val="24"/>
        </w:rPr>
        <w:t xml:space="preserve"> </w:t>
      </w:r>
      <w:r>
        <w:rPr>
          <w:rFonts w:ascii="Arial" w:hAnsi="Arial" w:cs="Arial"/>
          <w:bCs/>
          <w:sz w:val="24"/>
          <w:szCs w:val="24"/>
        </w:rPr>
        <w:t xml:space="preserve">créditos de transferências, somam os </w:t>
      </w:r>
      <w:r w:rsidRPr="00B5478B">
        <w:rPr>
          <w:rFonts w:ascii="Arial" w:hAnsi="Arial" w:cs="Arial"/>
          <w:bCs/>
          <w:sz w:val="24"/>
          <w:szCs w:val="24"/>
        </w:rPr>
        <w:t xml:space="preserve">convênios assinados com entidades federais em 31 de dezembro é de R$ </w:t>
      </w:r>
      <w:r w:rsidR="00744919">
        <w:rPr>
          <w:rFonts w:ascii="Arial" w:hAnsi="Arial" w:cs="Arial"/>
          <w:bCs/>
          <w:sz w:val="24"/>
          <w:szCs w:val="24"/>
        </w:rPr>
        <w:t>421.284,72</w:t>
      </w:r>
    </w:p>
    <w:p w:rsidR="003C4CC7" w:rsidRDefault="003C4CC7" w:rsidP="00807064">
      <w:pPr>
        <w:autoSpaceDE w:val="0"/>
        <w:autoSpaceDN w:val="0"/>
        <w:adjustRightInd w:val="0"/>
        <w:spacing w:after="0" w:line="240" w:lineRule="auto"/>
        <w:jc w:val="both"/>
        <w:rPr>
          <w:rFonts w:ascii="Arial" w:hAnsi="Arial" w:cs="Arial"/>
          <w:bCs/>
          <w:sz w:val="24"/>
          <w:szCs w:val="24"/>
        </w:rPr>
      </w:pPr>
    </w:p>
    <w:p w:rsidR="005254A5"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F51E08" w:rsidRPr="003C4CC7" w:rsidRDefault="00F51E08" w:rsidP="00F51E08">
      <w:pPr>
        <w:autoSpaceDE w:val="0"/>
        <w:autoSpaceDN w:val="0"/>
        <w:adjustRightInd w:val="0"/>
        <w:spacing w:after="0" w:line="240" w:lineRule="auto"/>
        <w:jc w:val="both"/>
        <w:rPr>
          <w:rFonts w:ascii="Arial" w:hAnsi="Arial" w:cs="Arial"/>
          <w:bCs/>
          <w:color w:val="FF0000"/>
          <w:sz w:val="24"/>
          <w:szCs w:val="24"/>
        </w:rPr>
      </w:pPr>
      <w:r>
        <w:rPr>
          <w:rFonts w:ascii="Arial" w:hAnsi="Arial" w:cs="Arial"/>
          <w:bCs/>
          <w:sz w:val="24"/>
          <w:szCs w:val="24"/>
        </w:rPr>
        <w:t xml:space="preserve">O valor dos créditos por danos ao patrimônio no montante de R$ 10.527,10, é </w:t>
      </w:r>
      <w:r w:rsidRPr="00C17504">
        <w:rPr>
          <w:rFonts w:ascii="Arial" w:hAnsi="Arial" w:cs="Arial"/>
          <w:bCs/>
          <w:sz w:val="24"/>
          <w:szCs w:val="24"/>
        </w:rPr>
        <w:t>relativo</w:t>
      </w:r>
      <w:r>
        <w:rPr>
          <w:rFonts w:ascii="Arial" w:hAnsi="Arial" w:cs="Arial"/>
          <w:bCs/>
          <w:sz w:val="24"/>
          <w:szCs w:val="24"/>
        </w:rPr>
        <w:t xml:space="preserve"> a</w:t>
      </w:r>
      <w:r w:rsidRPr="00C17504">
        <w:rPr>
          <w:rFonts w:ascii="Arial" w:hAnsi="Arial" w:cs="Arial"/>
          <w:bCs/>
          <w:sz w:val="24"/>
          <w:szCs w:val="24"/>
        </w:rPr>
        <w:t xml:space="preserve">o reconhecimento </w:t>
      </w:r>
      <w:r>
        <w:rPr>
          <w:rFonts w:ascii="Arial" w:hAnsi="Arial" w:cs="Arial"/>
          <w:bCs/>
          <w:sz w:val="24"/>
          <w:szCs w:val="24"/>
        </w:rPr>
        <w:t xml:space="preserve">de </w:t>
      </w:r>
      <w:r w:rsidRPr="00C17504">
        <w:rPr>
          <w:rFonts w:ascii="Arial" w:hAnsi="Arial" w:cs="Arial"/>
          <w:bCs/>
          <w:sz w:val="24"/>
          <w:szCs w:val="24"/>
        </w:rPr>
        <w:t>processos sobre pagamento de multas de trânsito.</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5254A5" w:rsidRPr="00B5478B" w:rsidRDefault="005254A5" w:rsidP="005254A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município controla e reconhece as despesas pagas antecipadamente com seguros e assinaturas, atendendo as exigências das NBCASP.</w:t>
      </w:r>
    </w:p>
    <w:p w:rsidR="008A3226" w:rsidRPr="00116D9A" w:rsidRDefault="008A3226" w:rsidP="00807064">
      <w:pPr>
        <w:autoSpaceDE w:val="0"/>
        <w:autoSpaceDN w:val="0"/>
        <w:adjustRightInd w:val="0"/>
        <w:spacing w:after="0" w:line="240" w:lineRule="auto"/>
        <w:jc w:val="both"/>
        <w:rPr>
          <w:rFonts w:ascii="Arial" w:hAnsi="Arial" w:cs="Arial"/>
          <w:b/>
          <w:bCs/>
          <w:color w:val="215868" w:themeColor="accent5" w:themeShade="80"/>
        </w:rPr>
      </w:pPr>
    </w:p>
    <w:p w:rsidR="008A3226"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w:t>
      </w:r>
      <w:r w:rsidR="008A3226" w:rsidRPr="00116D9A">
        <w:rPr>
          <w:rFonts w:ascii="Arial" w:hAnsi="Arial" w:cs="Arial"/>
          <w:color w:val="215868" w:themeColor="accent5" w:themeShade="80"/>
          <w:sz w:val="24"/>
          <w:szCs w:val="24"/>
        </w:rPr>
        <w:t>) Direitos, créditos e valores a longo prazo</w:t>
      </w:r>
    </w:p>
    <w:tbl>
      <w:tblPr>
        <w:tblStyle w:val="TabeladeGrade4-nfase52"/>
        <w:tblW w:w="9180" w:type="dxa"/>
        <w:tblInd w:w="108" w:type="dxa"/>
        <w:tblLook w:val="04A0" w:firstRow="1" w:lastRow="0" w:firstColumn="1" w:lastColumn="0" w:noHBand="0" w:noVBand="1"/>
      </w:tblPr>
      <w:tblGrid>
        <w:gridCol w:w="2035"/>
        <w:gridCol w:w="3163"/>
        <w:gridCol w:w="1818"/>
        <w:gridCol w:w="2164"/>
      </w:tblGrid>
      <w:tr w:rsidR="00F2128D"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F2128D" w:rsidRPr="00116D9A" w:rsidRDefault="00F2128D" w:rsidP="00271762">
            <w:pPr>
              <w:autoSpaceDE w:val="0"/>
              <w:autoSpaceDN w:val="0"/>
              <w:adjustRightInd w:val="0"/>
              <w:rPr>
                <w:rFonts w:ascii="Arial" w:hAnsi="Arial" w:cs="Arial"/>
                <w:color w:val="000000" w:themeColor="text1"/>
                <w:sz w:val="20"/>
                <w:szCs w:val="20"/>
              </w:rPr>
            </w:pPr>
            <w:r w:rsidRPr="00116D9A">
              <w:rPr>
                <w:rFonts w:ascii="Arial" w:hAnsi="Arial" w:cs="Arial"/>
                <w:color w:val="000000" w:themeColor="text1"/>
                <w:sz w:val="20"/>
                <w:szCs w:val="20"/>
              </w:rPr>
              <w:t>CONTA</w:t>
            </w:r>
          </w:p>
        </w:tc>
        <w:tc>
          <w:tcPr>
            <w:tcW w:w="3163" w:type="dxa"/>
          </w:tcPr>
          <w:p w:rsidR="00F2128D" w:rsidRPr="00116D9A" w:rsidRDefault="00F2128D"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DESCRIÇÃO</w:t>
            </w:r>
          </w:p>
        </w:tc>
        <w:tc>
          <w:tcPr>
            <w:tcW w:w="1818" w:type="dxa"/>
          </w:tcPr>
          <w:p w:rsidR="00F2128D" w:rsidRPr="00116D9A" w:rsidRDefault="00F2128D"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2019</w:t>
            </w:r>
          </w:p>
        </w:tc>
        <w:tc>
          <w:tcPr>
            <w:tcW w:w="2164" w:type="dxa"/>
          </w:tcPr>
          <w:p w:rsidR="00F2128D" w:rsidRPr="00116D9A" w:rsidRDefault="00F2128D"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2018</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F2128D" w:rsidRPr="00116D9A" w:rsidRDefault="00F2128D" w:rsidP="00807064">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1.2.1.1.1.04.xx</w:t>
            </w:r>
          </w:p>
        </w:tc>
        <w:tc>
          <w:tcPr>
            <w:tcW w:w="3163" w:type="dxa"/>
          </w:tcPr>
          <w:p w:rsidR="00F2128D" w:rsidRPr="00116D9A" w:rsidRDefault="00F2128D"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color w:val="000000" w:themeColor="text1"/>
                <w:sz w:val="20"/>
                <w:szCs w:val="20"/>
              </w:rPr>
              <w:t>Dívida ativa Tributária</w:t>
            </w:r>
          </w:p>
        </w:tc>
        <w:tc>
          <w:tcPr>
            <w:tcW w:w="1818" w:type="dxa"/>
          </w:tcPr>
          <w:p w:rsidR="00F2128D" w:rsidRDefault="00F2128D"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277.410,47</w:t>
            </w:r>
          </w:p>
        </w:tc>
        <w:tc>
          <w:tcPr>
            <w:tcW w:w="2164" w:type="dxa"/>
          </w:tcPr>
          <w:p w:rsidR="00F2128D" w:rsidRPr="00116D9A" w:rsidRDefault="00F2128D"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237.150,85</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2035" w:type="dxa"/>
          </w:tcPr>
          <w:p w:rsidR="00F2128D" w:rsidRPr="00116D9A" w:rsidRDefault="00F2128D" w:rsidP="00807064">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1.2.1.1.1.05.xx</w:t>
            </w:r>
          </w:p>
        </w:tc>
        <w:tc>
          <w:tcPr>
            <w:tcW w:w="3163" w:type="dxa"/>
          </w:tcPr>
          <w:p w:rsidR="00F2128D" w:rsidRPr="00116D9A" w:rsidRDefault="00F2128D" w:rsidP="008070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bCs/>
                <w:color w:val="000000" w:themeColor="text1"/>
                <w:sz w:val="20"/>
                <w:szCs w:val="20"/>
              </w:rPr>
              <w:t>Dívida ativa não tributária</w:t>
            </w:r>
          </w:p>
        </w:tc>
        <w:tc>
          <w:tcPr>
            <w:tcW w:w="1818" w:type="dxa"/>
          </w:tcPr>
          <w:p w:rsidR="00F2128D" w:rsidRDefault="00F2128D"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591.221,77</w:t>
            </w:r>
          </w:p>
        </w:tc>
        <w:tc>
          <w:tcPr>
            <w:tcW w:w="2164" w:type="dxa"/>
          </w:tcPr>
          <w:p w:rsidR="00F2128D" w:rsidRPr="00116D9A" w:rsidRDefault="00F2128D"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526.872,37</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F2128D" w:rsidRPr="003525B8" w:rsidRDefault="00F2128D" w:rsidP="00807064">
            <w:pPr>
              <w:autoSpaceDE w:val="0"/>
              <w:autoSpaceDN w:val="0"/>
              <w:adjustRightInd w:val="0"/>
              <w:jc w:val="both"/>
              <w:rPr>
                <w:rFonts w:ascii="Arial" w:hAnsi="Arial" w:cs="Arial"/>
                <w:b w:val="0"/>
                <w:bCs w:val="0"/>
                <w:color w:val="000000" w:themeColor="text1"/>
                <w:sz w:val="20"/>
                <w:szCs w:val="20"/>
              </w:rPr>
            </w:pPr>
            <w:r w:rsidRPr="003525B8">
              <w:rPr>
                <w:rFonts w:ascii="Arial" w:hAnsi="Arial" w:cs="Arial"/>
                <w:b w:val="0"/>
                <w:color w:val="000000" w:themeColor="text1"/>
                <w:sz w:val="20"/>
                <w:szCs w:val="20"/>
              </w:rPr>
              <w:t>1.2.1.1.1.99.xx</w:t>
            </w:r>
          </w:p>
        </w:tc>
        <w:tc>
          <w:tcPr>
            <w:tcW w:w="3163" w:type="dxa"/>
          </w:tcPr>
          <w:p w:rsidR="00F2128D" w:rsidRPr="003525B8" w:rsidRDefault="003525B8"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w:t>
            </w:r>
            <w:r w:rsidR="00F2128D" w:rsidRPr="003525B8">
              <w:rPr>
                <w:rFonts w:ascii="Arial" w:hAnsi="Arial" w:cs="Arial"/>
                <w:bCs/>
                <w:color w:val="000000" w:themeColor="text1"/>
                <w:sz w:val="20"/>
                <w:szCs w:val="20"/>
              </w:rPr>
              <w:t>Ajustes de perdas de créditos</w:t>
            </w:r>
          </w:p>
        </w:tc>
        <w:tc>
          <w:tcPr>
            <w:tcW w:w="1818" w:type="dxa"/>
          </w:tcPr>
          <w:p w:rsidR="00F2128D" w:rsidRPr="003525B8" w:rsidRDefault="00F2128D" w:rsidP="00DA3648">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141.639,78</w:t>
            </w:r>
          </w:p>
        </w:tc>
        <w:tc>
          <w:tcPr>
            <w:tcW w:w="2164" w:type="dxa"/>
          </w:tcPr>
          <w:p w:rsidR="00F2128D" w:rsidRPr="003525B8" w:rsidRDefault="00F2128D" w:rsidP="00DA3648">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126.464,08</w:t>
            </w:r>
          </w:p>
        </w:tc>
      </w:tr>
      <w:tr w:rsidR="006D6B0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2035" w:type="dxa"/>
          </w:tcPr>
          <w:p w:rsidR="006D6B0C" w:rsidRPr="003525B8" w:rsidRDefault="006D6B0C" w:rsidP="00807064">
            <w:pPr>
              <w:autoSpaceDE w:val="0"/>
              <w:autoSpaceDN w:val="0"/>
              <w:adjustRightInd w:val="0"/>
              <w:jc w:val="both"/>
              <w:rPr>
                <w:rFonts w:ascii="Arial" w:hAnsi="Arial" w:cs="Arial"/>
                <w:b w:val="0"/>
                <w:color w:val="000000" w:themeColor="text1"/>
                <w:sz w:val="20"/>
                <w:szCs w:val="20"/>
              </w:rPr>
            </w:pPr>
            <w:r w:rsidRPr="003525B8">
              <w:rPr>
                <w:rFonts w:ascii="Arial" w:hAnsi="Arial" w:cs="Arial"/>
                <w:b w:val="0"/>
                <w:color w:val="000000" w:themeColor="text1"/>
                <w:sz w:val="20"/>
                <w:szCs w:val="20"/>
              </w:rPr>
              <w:t>1.2.1.2.1.04.xx</w:t>
            </w:r>
          </w:p>
        </w:tc>
        <w:tc>
          <w:tcPr>
            <w:tcW w:w="3163" w:type="dxa"/>
          </w:tcPr>
          <w:p w:rsidR="006D6B0C" w:rsidRPr="003525B8" w:rsidRDefault="006D6B0C" w:rsidP="008070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 xml:space="preserve">Credito por danos ao patrimônio provenientes de </w:t>
            </w:r>
            <w:r w:rsidR="00EE0AFF" w:rsidRPr="003525B8">
              <w:rPr>
                <w:rFonts w:ascii="Arial" w:hAnsi="Arial" w:cs="Arial"/>
                <w:bCs/>
                <w:color w:val="000000" w:themeColor="text1"/>
                <w:sz w:val="20"/>
                <w:szCs w:val="20"/>
              </w:rPr>
              <w:t>créditos</w:t>
            </w:r>
          </w:p>
        </w:tc>
        <w:tc>
          <w:tcPr>
            <w:tcW w:w="1818" w:type="dxa"/>
          </w:tcPr>
          <w:p w:rsidR="006D6B0C" w:rsidRPr="003525B8" w:rsidRDefault="006D6B0C" w:rsidP="00DA3648">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3.772,61</w:t>
            </w:r>
          </w:p>
        </w:tc>
        <w:tc>
          <w:tcPr>
            <w:tcW w:w="2164" w:type="dxa"/>
          </w:tcPr>
          <w:p w:rsidR="006D6B0C" w:rsidRPr="003525B8" w:rsidRDefault="00271762" w:rsidP="00DA3648">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0,00</w:t>
            </w:r>
          </w:p>
        </w:tc>
      </w:tr>
      <w:tr w:rsidR="005254A5" w:rsidRPr="00116D9A" w:rsidTr="005254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vAlign w:val="center"/>
          </w:tcPr>
          <w:p w:rsidR="005254A5" w:rsidRPr="00CF6F21" w:rsidRDefault="005254A5" w:rsidP="005254A5">
            <w:pPr>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1.2.1.3.1.01</w:t>
            </w:r>
          </w:p>
        </w:tc>
        <w:tc>
          <w:tcPr>
            <w:tcW w:w="3163" w:type="dxa"/>
            <w:vAlign w:val="center"/>
          </w:tcPr>
          <w:p w:rsidR="005254A5" w:rsidRPr="00CF6F21" w:rsidRDefault="005254A5" w:rsidP="005254A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Títulos e Valores Imobiliários</w:t>
            </w:r>
          </w:p>
        </w:tc>
        <w:tc>
          <w:tcPr>
            <w:tcW w:w="1818" w:type="dxa"/>
          </w:tcPr>
          <w:p w:rsidR="005254A5" w:rsidRPr="00CF6F21" w:rsidRDefault="005254A5" w:rsidP="005254A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c>
          <w:tcPr>
            <w:tcW w:w="2164" w:type="dxa"/>
            <w:vAlign w:val="center"/>
          </w:tcPr>
          <w:p w:rsidR="005254A5" w:rsidRPr="00CF6F21" w:rsidRDefault="005254A5" w:rsidP="005254A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3.081,84</w:t>
            </w:r>
          </w:p>
        </w:tc>
      </w:tr>
      <w:tr w:rsidR="005254A5" w:rsidRPr="00116D9A" w:rsidTr="005254A5">
        <w:trPr>
          <w:trHeight w:val="255"/>
        </w:trPr>
        <w:tc>
          <w:tcPr>
            <w:cnfStyle w:val="001000000000" w:firstRow="0" w:lastRow="0" w:firstColumn="1" w:lastColumn="0" w:oddVBand="0" w:evenVBand="0" w:oddHBand="0" w:evenHBand="0" w:firstRowFirstColumn="0" w:firstRowLastColumn="0" w:lastRowFirstColumn="0" w:lastRowLastColumn="0"/>
            <w:tcW w:w="5198" w:type="dxa"/>
            <w:gridSpan w:val="2"/>
          </w:tcPr>
          <w:p w:rsidR="005254A5" w:rsidRPr="00116D9A" w:rsidRDefault="005254A5" w:rsidP="005254A5">
            <w:pPr>
              <w:autoSpaceDE w:val="0"/>
              <w:autoSpaceDN w:val="0"/>
              <w:adjustRightInd w:val="0"/>
              <w:jc w:val="center"/>
              <w:rPr>
                <w:rFonts w:ascii="Arial" w:hAnsi="Arial" w:cs="Arial"/>
                <w:b w:val="0"/>
                <w:bCs w:val="0"/>
                <w:color w:val="000000" w:themeColor="text1"/>
                <w:sz w:val="20"/>
                <w:szCs w:val="20"/>
              </w:rPr>
            </w:pPr>
            <w:r w:rsidRPr="00116D9A">
              <w:rPr>
                <w:rFonts w:ascii="Arial" w:hAnsi="Arial" w:cs="Arial"/>
                <w:color w:val="000000" w:themeColor="text1"/>
                <w:sz w:val="20"/>
                <w:szCs w:val="20"/>
              </w:rPr>
              <w:t>Total</w:t>
            </w:r>
          </w:p>
        </w:tc>
        <w:tc>
          <w:tcPr>
            <w:tcW w:w="1818" w:type="dxa"/>
          </w:tcPr>
          <w:p w:rsidR="005254A5" w:rsidRPr="00CF6F21" w:rsidRDefault="005254A5" w:rsidP="005254A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731.906,59</w:t>
            </w:r>
          </w:p>
        </w:tc>
        <w:tc>
          <w:tcPr>
            <w:tcW w:w="2164" w:type="dxa"/>
            <w:vAlign w:val="center"/>
          </w:tcPr>
          <w:p w:rsidR="005254A5" w:rsidRPr="00CF6F21" w:rsidRDefault="005254A5" w:rsidP="005254A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CF6F21">
              <w:rPr>
                <w:rFonts w:ascii="Arial" w:eastAsia="Times New Roman" w:hAnsi="Arial" w:cs="Arial"/>
                <w:b/>
                <w:bCs/>
                <w:color w:val="000000" w:themeColor="text1"/>
                <w:sz w:val="20"/>
                <w:szCs w:val="20"/>
                <w:lang w:eastAsia="pt-BR"/>
              </w:rPr>
              <w:t>642.345,58</w:t>
            </w:r>
          </w:p>
        </w:tc>
      </w:tr>
    </w:tbl>
    <w:p w:rsidR="00A420CF" w:rsidRDefault="00A420CF" w:rsidP="00807064">
      <w:pPr>
        <w:autoSpaceDE w:val="0"/>
        <w:autoSpaceDN w:val="0"/>
        <w:adjustRightInd w:val="0"/>
        <w:spacing w:after="0" w:line="240" w:lineRule="auto"/>
        <w:jc w:val="both"/>
        <w:rPr>
          <w:rFonts w:ascii="Arial" w:hAnsi="Arial" w:cs="Arial"/>
        </w:rPr>
      </w:pPr>
    </w:p>
    <w:p w:rsidR="005254A5" w:rsidRPr="00116D9A"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Pr="00116D9A">
        <w:rPr>
          <w:rFonts w:ascii="Arial" w:hAnsi="Arial" w:cs="Arial"/>
          <w:bCs/>
          <w:sz w:val="24"/>
          <w:szCs w:val="24"/>
        </w:rPr>
        <w:t xml:space="preserve"> Município</w:t>
      </w:r>
      <w:r w:rsidRPr="00116D9A">
        <w:rPr>
          <w:rFonts w:ascii="Arial" w:hAnsi="Arial" w:cs="Arial"/>
          <w:sz w:val="24"/>
          <w:szCs w:val="24"/>
        </w:rPr>
        <w:t xml:space="preserve"> </w:t>
      </w:r>
      <w:r>
        <w:rPr>
          <w:rFonts w:ascii="Arial" w:hAnsi="Arial" w:cs="Arial"/>
          <w:bCs/>
          <w:sz w:val="24"/>
          <w:szCs w:val="24"/>
        </w:rPr>
        <w:t>mantém</w:t>
      </w:r>
      <w:r w:rsidRPr="00116D9A">
        <w:rPr>
          <w:rFonts w:ascii="Arial" w:hAnsi="Arial" w:cs="Arial"/>
          <w:bCs/>
          <w:sz w:val="24"/>
          <w:szCs w:val="24"/>
        </w:rPr>
        <w:t xml:space="preserve"> a dívida ativa re</w:t>
      </w:r>
      <w:r>
        <w:rPr>
          <w:rFonts w:ascii="Arial" w:hAnsi="Arial" w:cs="Arial"/>
          <w:bCs/>
          <w:sz w:val="24"/>
          <w:szCs w:val="24"/>
        </w:rPr>
        <w:t>gistrada apenas em longo prazo.</w:t>
      </w:r>
    </w:p>
    <w:p w:rsidR="005254A5" w:rsidRPr="00116D9A" w:rsidRDefault="005254A5" w:rsidP="005254A5">
      <w:pPr>
        <w:autoSpaceDE w:val="0"/>
        <w:autoSpaceDN w:val="0"/>
        <w:adjustRightInd w:val="0"/>
        <w:spacing w:after="0" w:line="240" w:lineRule="auto"/>
        <w:jc w:val="both"/>
        <w:rPr>
          <w:rFonts w:ascii="Arial" w:hAnsi="Arial" w:cs="Arial"/>
        </w:rPr>
      </w:pPr>
    </w:p>
    <w:p w:rsidR="005254A5" w:rsidRPr="00597B91" w:rsidRDefault="005254A5" w:rsidP="005254A5">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Pr>
          <w:rFonts w:ascii="Arial" w:hAnsi="Arial" w:cs="Arial"/>
          <w:bCs/>
          <w:sz w:val="24"/>
          <w:szCs w:val="24"/>
        </w:rPr>
        <w:t>58,24</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Pr>
          <w:rFonts w:ascii="Arial" w:hAnsi="Arial" w:cs="Arial"/>
          <w:bCs/>
          <w:sz w:val="24"/>
          <w:szCs w:val="24"/>
        </w:rPr>
        <w:t>27,33% a dívida ativa</w:t>
      </w:r>
      <w:r w:rsidRPr="00116D9A">
        <w:rPr>
          <w:rFonts w:ascii="Arial" w:hAnsi="Arial" w:cs="Arial"/>
          <w:bCs/>
          <w:sz w:val="24"/>
          <w:szCs w:val="24"/>
        </w:rPr>
        <w:t xml:space="preserve"> tributária. As perdas representam </w:t>
      </w:r>
      <w:r>
        <w:rPr>
          <w:rFonts w:ascii="Arial" w:hAnsi="Arial" w:cs="Arial"/>
          <w:bCs/>
          <w:sz w:val="24"/>
          <w:szCs w:val="24"/>
        </w:rPr>
        <w:t>13,95</w:t>
      </w:r>
      <w:r w:rsidRPr="00116D9A">
        <w:rPr>
          <w:rFonts w:ascii="Arial" w:hAnsi="Arial" w:cs="Arial"/>
          <w:bCs/>
          <w:sz w:val="24"/>
          <w:szCs w:val="24"/>
        </w:rPr>
        <w:t>% do total de créditos.</w:t>
      </w:r>
      <w:r w:rsidRPr="007C5270">
        <w:rPr>
          <w:rFonts w:ascii="Arial" w:hAnsi="Arial" w:cs="Arial"/>
          <w:bCs/>
          <w:sz w:val="24"/>
          <w:szCs w:val="24"/>
        </w:rPr>
        <w:t xml:space="preserve"> </w:t>
      </w:r>
      <w:r w:rsidRPr="00597B91">
        <w:rPr>
          <w:rFonts w:ascii="Arial" w:hAnsi="Arial" w:cs="Arial"/>
          <w:bCs/>
          <w:sz w:val="24"/>
          <w:szCs w:val="24"/>
        </w:rPr>
        <w:t>O cálculo da perda da dívida ativa foi realizado tomando por base o comportamento da dívida ativa, pela sua inscrição e recebimento nos últimos 3 exercícios.</w:t>
      </w:r>
    </w:p>
    <w:p w:rsidR="005254A5" w:rsidRPr="00597B91" w:rsidRDefault="005254A5" w:rsidP="005254A5">
      <w:pPr>
        <w:autoSpaceDE w:val="0"/>
        <w:autoSpaceDN w:val="0"/>
        <w:adjustRightInd w:val="0"/>
        <w:spacing w:after="0" w:line="240" w:lineRule="auto"/>
        <w:jc w:val="both"/>
        <w:rPr>
          <w:rFonts w:ascii="Arial" w:hAnsi="Arial" w:cs="Arial"/>
          <w:bCs/>
          <w:color w:val="FF0000"/>
          <w:sz w:val="24"/>
          <w:szCs w:val="24"/>
        </w:rPr>
      </w:pPr>
    </w:p>
    <w:p w:rsidR="005254A5" w:rsidRPr="00F51E08" w:rsidRDefault="005254A5" w:rsidP="005254A5">
      <w:pPr>
        <w:spacing w:after="0" w:line="240" w:lineRule="auto"/>
        <w:jc w:val="both"/>
        <w:rPr>
          <w:rFonts w:ascii="Arial" w:hAnsi="Arial" w:cs="Arial"/>
          <w:bCs/>
          <w:sz w:val="24"/>
          <w:szCs w:val="24"/>
        </w:rPr>
      </w:pPr>
      <w:r w:rsidRPr="00F51E08">
        <w:rPr>
          <w:rFonts w:ascii="Arial" w:hAnsi="Arial" w:cs="Arial"/>
          <w:bCs/>
          <w:sz w:val="24"/>
          <w:szCs w:val="24"/>
        </w:rPr>
        <w:t>O município possui R$ 3.772,61 por danos ao patrimônio, tendo em vista o reconhecimento de processos sobre pagamento de multas de trânsito.</w:t>
      </w:r>
    </w:p>
    <w:p w:rsidR="005254A5" w:rsidRDefault="005254A5" w:rsidP="005254A5">
      <w:pPr>
        <w:tabs>
          <w:tab w:val="left" w:pos="2175"/>
        </w:tabs>
        <w:autoSpaceDE w:val="0"/>
        <w:autoSpaceDN w:val="0"/>
        <w:adjustRightInd w:val="0"/>
        <w:spacing w:after="0" w:line="240" w:lineRule="auto"/>
        <w:jc w:val="both"/>
        <w:rPr>
          <w:rFonts w:ascii="Arial" w:hAnsi="Arial" w:cs="Arial"/>
          <w:bCs/>
          <w:color w:val="FF0000"/>
          <w:sz w:val="24"/>
          <w:szCs w:val="24"/>
        </w:rPr>
      </w:pPr>
      <w:r>
        <w:rPr>
          <w:rFonts w:ascii="Arial" w:hAnsi="Arial" w:cs="Arial"/>
          <w:bCs/>
          <w:color w:val="FF0000"/>
          <w:sz w:val="24"/>
          <w:szCs w:val="24"/>
        </w:rPr>
        <w:tab/>
      </w:r>
    </w:p>
    <w:p w:rsidR="00F51E08" w:rsidRPr="00AE1E16" w:rsidRDefault="00F51E08" w:rsidP="00F51E08">
      <w:pPr>
        <w:autoSpaceDE w:val="0"/>
        <w:autoSpaceDN w:val="0"/>
        <w:adjustRightInd w:val="0"/>
        <w:spacing w:after="0" w:line="240" w:lineRule="auto"/>
        <w:jc w:val="both"/>
        <w:rPr>
          <w:rFonts w:ascii="Arial" w:hAnsi="Arial" w:cs="Arial"/>
          <w:bCs/>
          <w:sz w:val="24"/>
          <w:szCs w:val="24"/>
        </w:rPr>
      </w:pPr>
      <w:r w:rsidRPr="00AE1E16">
        <w:rPr>
          <w:rFonts w:ascii="Arial" w:hAnsi="Arial" w:cs="Arial"/>
          <w:bCs/>
          <w:sz w:val="24"/>
          <w:szCs w:val="24"/>
        </w:rPr>
        <w:t>O Município possui R$ 3.081,84 relativo a investi</w:t>
      </w:r>
      <w:r>
        <w:rPr>
          <w:rFonts w:ascii="Arial" w:hAnsi="Arial" w:cs="Arial"/>
          <w:bCs/>
          <w:sz w:val="24"/>
          <w:szCs w:val="24"/>
        </w:rPr>
        <w:t>mentos de ações da TELESC.</w:t>
      </w:r>
    </w:p>
    <w:p w:rsidR="00B35AE7" w:rsidRDefault="00B35AE7" w:rsidP="003A0148">
      <w:pPr>
        <w:autoSpaceDE w:val="0"/>
        <w:autoSpaceDN w:val="0"/>
        <w:adjustRightInd w:val="0"/>
        <w:spacing w:after="0" w:line="240" w:lineRule="auto"/>
        <w:jc w:val="both"/>
        <w:rPr>
          <w:rFonts w:ascii="Arial" w:hAnsi="Arial" w:cs="Arial"/>
          <w:bCs/>
          <w:color w:val="FF0000"/>
          <w:sz w:val="24"/>
          <w:szCs w:val="24"/>
        </w:rPr>
      </w:pPr>
    </w:p>
    <w:p w:rsidR="00B35AE7" w:rsidRDefault="00B35AE7" w:rsidP="003A0148">
      <w:pPr>
        <w:autoSpaceDE w:val="0"/>
        <w:autoSpaceDN w:val="0"/>
        <w:adjustRightInd w:val="0"/>
        <w:spacing w:after="0" w:line="240" w:lineRule="auto"/>
        <w:jc w:val="both"/>
        <w:rPr>
          <w:rFonts w:ascii="Arial" w:hAnsi="Arial" w:cs="Arial"/>
          <w:bCs/>
          <w:color w:val="FF0000"/>
          <w:sz w:val="24"/>
          <w:szCs w:val="24"/>
        </w:rPr>
      </w:pPr>
    </w:p>
    <w:p w:rsidR="008A3226" w:rsidRPr="00116D9A" w:rsidRDefault="0005692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116D9A">
        <w:rPr>
          <w:rFonts w:ascii="Arial" w:hAnsi="Arial" w:cs="Arial"/>
          <w:color w:val="215868" w:themeColor="accent5" w:themeShade="80"/>
          <w:sz w:val="24"/>
          <w:szCs w:val="24"/>
        </w:rPr>
        <w:t xml:space="preserve">) </w:t>
      </w:r>
      <w:r w:rsidR="008A3226" w:rsidRPr="00116D9A">
        <w:rPr>
          <w:rFonts w:ascii="Arial" w:hAnsi="Arial" w:cs="Arial"/>
          <w:color w:val="215868" w:themeColor="accent5" w:themeShade="80"/>
          <w:sz w:val="24"/>
          <w:szCs w:val="24"/>
        </w:rPr>
        <w:t>Imobilizado</w:t>
      </w:r>
    </w:p>
    <w:p w:rsidR="006E41ED" w:rsidRDefault="006E41ED" w:rsidP="006E41ED">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sidRPr="00832552">
        <w:rPr>
          <w:rFonts w:ascii="Arial" w:hAnsi="Arial" w:cs="Arial"/>
          <w:b/>
          <w:sz w:val="24"/>
          <w:szCs w:val="24"/>
        </w:rPr>
        <w:t>reiniciou</w:t>
      </w:r>
      <w:r w:rsidRPr="00345C92">
        <w:rPr>
          <w:rFonts w:ascii="Arial" w:hAnsi="Arial" w:cs="Arial"/>
          <w:sz w:val="24"/>
          <w:szCs w:val="24"/>
        </w:rPr>
        <w:t xml:space="preserve"> o procedimento de depreciação </w:t>
      </w:r>
      <w:r>
        <w:rPr>
          <w:rFonts w:ascii="Arial" w:hAnsi="Arial" w:cs="Arial"/>
          <w:sz w:val="24"/>
          <w:szCs w:val="24"/>
        </w:rPr>
        <w:t xml:space="preserve">o patrimônio imobilizado, </w:t>
      </w:r>
      <w:r w:rsidRPr="00345C92">
        <w:rPr>
          <w:rFonts w:ascii="Arial" w:hAnsi="Arial" w:cs="Arial"/>
          <w:sz w:val="24"/>
          <w:szCs w:val="24"/>
        </w:rPr>
        <w:t>no mês de dezembro de 2019, zerando a depreciação dos bens já em uso, que passaram a apresentar uma base monetária confiável, avaliados a valor atual de mercado (valor justo)</w:t>
      </w:r>
      <w:r>
        <w:rPr>
          <w:rFonts w:ascii="Arial" w:hAnsi="Arial" w:cs="Arial"/>
          <w:sz w:val="24"/>
          <w:szCs w:val="24"/>
        </w:rPr>
        <w:t xml:space="preserve"> em dezembro de 2019</w:t>
      </w:r>
      <w:r w:rsidRPr="00345C92">
        <w:rPr>
          <w:rFonts w:ascii="Arial" w:hAnsi="Arial" w:cs="Arial"/>
          <w:sz w:val="24"/>
          <w:szCs w:val="24"/>
        </w:rPr>
        <w:t>. A data de corte definida foi 01 de dezembro de 2019.</w:t>
      </w:r>
      <w:r>
        <w:rPr>
          <w:rFonts w:ascii="Arial" w:hAnsi="Arial" w:cs="Arial"/>
          <w:sz w:val="24"/>
          <w:szCs w:val="24"/>
        </w:rPr>
        <w:t xml:space="preserve"> </w:t>
      </w:r>
      <w:r w:rsidRPr="00116D9A">
        <w:rPr>
          <w:rFonts w:ascii="Arial" w:hAnsi="Arial" w:cs="Arial"/>
          <w:sz w:val="24"/>
          <w:szCs w:val="24"/>
        </w:rPr>
        <w:t xml:space="preserve">Segue tabela de depreciação do Município, SC, válida a partir </w:t>
      </w:r>
      <w:r>
        <w:rPr>
          <w:rFonts w:ascii="Arial" w:hAnsi="Arial" w:cs="Arial"/>
          <w:sz w:val="24"/>
          <w:szCs w:val="24"/>
        </w:rPr>
        <w:t>do exercício de 2019</w:t>
      </w:r>
      <w:r w:rsidRPr="00AE1E16">
        <w:rPr>
          <w:rFonts w:ascii="Arial" w:hAnsi="Arial" w:cs="Arial"/>
          <w:sz w:val="24"/>
          <w:szCs w:val="24"/>
        </w:rPr>
        <w:t>:</w:t>
      </w:r>
    </w:p>
    <w:p w:rsidR="00FC3B70" w:rsidRPr="00AE1E16" w:rsidRDefault="00FC3B70" w:rsidP="006E41ED">
      <w:pPr>
        <w:autoSpaceDE w:val="0"/>
        <w:autoSpaceDN w:val="0"/>
        <w:adjustRightInd w:val="0"/>
        <w:spacing w:after="0" w:line="240" w:lineRule="auto"/>
        <w:jc w:val="both"/>
        <w:rPr>
          <w:rFonts w:ascii="Arial" w:hAnsi="Arial" w:cs="Arial"/>
          <w:sz w:val="24"/>
          <w:szCs w:val="24"/>
        </w:rPr>
      </w:pPr>
    </w:p>
    <w:p w:rsidR="0060731E" w:rsidRPr="00692DB0"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firstRow="1" w:lastRow="0" w:firstColumn="1" w:lastColumn="0" w:noHBand="0" w:noVBand="1"/>
      </w:tblPr>
      <w:tblGrid>
        <w:gridCol w:w="1551"/>
        <w:gridCol w:w="5554"/>
        <w:gridCol w:w="773"/>
        <w:gridCol w:w="1194"/>
      </w:tblGrid>
      <w:tr w:rsidR="008A3226" w:rsidRPr="00692DB0"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tcPr>
          <w:p w:rsidR="008A3226" w:rsidRPr="00692DB0" w:rsidRDefault="008A3226" w:rsidP="00807064">
            <w:pPr>
              <w:pStyle w:val="SemEspaamento"/>
              <w:jc w:val="both"/>
              <w:rPr>
                <w:rFonts w:ascii="Arial" w:hAnsi="Arial" w:cs="Arial"/>
                <w:color w:val="auto"/>
                <w:sz w:val="20"/>
                <w:szCs w:val="20"/>
              </w:rPr>
            </w:pPr>
            <w:r w:rsidRPr="00692DB0">
              <w:rPr>
                <w:rFonts w:ascii="Arial" w:hAnsi="Arial" w:cs="Arial"/>
                <w:color w:val="auto"/>
                <w:sz w:val="20"/>
                <w:szCs w:val="20"/>
              </w:rPr>
              <w:t>MASCARA</w:t>
            </w:r>
          </w:p>
        </w:tc>
        <w:tc>
          <w:tcPr>
            <w:tcW w:w="5554" w:type="dxa"/>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DESCRIÇÃO</w:t>
            </w:r>
          </w:p>
        </w:tc>
        <w:tc>
          <w:tcPr>
            <w:tcW w:w="773" w:type="dxa"/>
            <w:noWrap/>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VIDA UTIL</w:t>
            </w:r>
          </w:p>
        </w:tc>
        <w:tc>
          <w:tcPr>
            <w:tcW w:w="1194" w:type="dxa"/>
            <w:noWrap/>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VALOR RESI-</w:t>
            </w:r>
          </w:p>
          <w:p w:rsidR="008A3226" w:rsidRPr="00692DB0" w:rsidRDefault="008A3226" w:rsidP="00FE20CF">
            <w:pPr>
              <w:pStyle w:val="SemEspaamento"/>
              <w:ind w:right="-281"/>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DUAL</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aparelhos, equipamentos e ferramentas</w:t>
            </w:r>
          </w:p>
        </w:tc>
        <w:tc>
          <w:tcPr>
            <w:tcW w:w="773" w:type="dxa"/>
            <w:noWrap/>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4" w:type="dxa"/>
            <w:noWrap/>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de medição e orientação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equipamentos de comunicação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692DB0">
              <w:rPr>
                <w:rFonts w:ascii="Arial" w:hAnsi="Arial" w:cs="Arial"/>
                <w:sz w:val="20"/>
                <w:szCs w:val="20"/>
              </w:rPr>
              <w:t>Apar</w:t>
            </w:r>
            <w:proofErr w:type="spellEnd"/>
            <w:r w:rsidRPr="00692DB0">
              <w:rPr>
                <w:rFonts w:ascii="Arial" w:hAnsi="Arial" w:cs="Arial"/>
                <w:sz w:val="20"/>
                <w:szCs w:val="20"/>
              </w:rPr>
              <w:t xml:space="preserve">., </w:t>
            </w:r>
            <w:proofErr w:type="spellStart"/>
            <w:r w:rsidRPr="00692DB0">
              <w:rPr>
                <w:rFonts w:ascii="Arial" w:hAnsi="Arial" w:cs="Arial"/>
                <w:sz w:val="20"/>
                <w:szCs w:val="20"/>
              </w:rPr>
              <w:t>equip</w:t>
            </w:r>
            <w:proofErr w:type="spellEnd"/>
            <w:r w:rsidRPr="00692DB0">
              <w:rPr>
                <w:rFonts w:ascii="Arial" w:hAnsi="Arial" w:cs="Arial"/>
                <w:sz w:val="20"/>
                <w:szCs w:val="20"/>
              </w:rPr>
              <w:t xml:space="preserve">. </w:t>
            </w:r>
            <w:proofErr w:type="spellStart"/>
            <w:r w:rsidRPr="00692DB0">
              <w:rPr>
                <w:rFonts w:ascii="Arial" w:hAnsi="Arial" w:cs="Arial"/>
                <w:sz w:val="20"/>
                <w:szCs w:val="20"/>
              </w:rPr>
              <w:t>Utens</w:t>
            </w:r>
            <w:proofErr w:type="spellEnd"/>
            <w:r w:rsidRPr="00692DB0">
              <w:rPr>
                <w:rFonts w:ascii="Arial" w:hAnsi="Arial" w:cs="Arial"/>
                <w:sz w:val="20"/>
                <w:szCs w:val="20"/>
              </w:rPr>
              <w:t xml:space="preserve">. Médicos, odontológicos, laboratoriais e hospitalares </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1.2.3.1.1.01.04</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equipamentos para esportes e diversões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1.2.3.1.1.01.05</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 de proteção, segurança e socorro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1.2.3.1.1.01.06</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industriais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1.2.3.1.1.01.07</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energéticos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1.2.3.1.1.01.08</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gráficos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1.2.3.1.1.01.09</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ferramentas e utensílios de oficina</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montaria</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1.2.3.1.1.01.12</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peças e acessórios para automóveis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1.2.3.1.1.01.16</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mergulho e salvamento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1.2.3.1.1.01.18</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proteção e vigilância ambiental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1.2.3.1.1.01.19</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xml:space="preserve">Máquinas, equipamentos e utensílios agropecuários </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1.2.3.1.1.01.20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xml:space="preserve">Máquinas, equipamentos e utensílios rodoviários </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30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1.2.3.1.1.01.21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hidráulicos e elétricos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1.2.3.1.1.01.99</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Outras máquinas, aparelhos, equipamentos e ferramentas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de informática</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processamento de dados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tecnologia da informação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Sistemas aplicativos - softwares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Móveis e utensílios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utensílios domésticos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utensílios de escritório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Mobiliário em geral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1.2.3.1.1.03.04</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Utensílios em geral</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Materiais culturais, educacionais e de comunicação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Bandeiras, flâmulas e insígnias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1.2.3.1.1.04.02</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Coleções e materiais bibliográficos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1.2.3.1.1.04.03</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Discotecas e filmotecas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1.2.3.1.1.04.04</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Instrumentos musicais e artísticos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1.2.3.1.1.04.05</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para áudio, vídeo e foto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1.2.3.1.1.04.06</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Obras de arte e peças para exposição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1.2.3.1.1.04.99</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Outros materiais culturais, educacionais e de comunicação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1.2.3.1.1.05.00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Veículos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1.2.3.1.1.05.01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Veículos em geral</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1.2.3.1.1.08.00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móveis em almoxarifado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1.2.3.1.1.08.05</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móveis inservíveis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1.2.3.2.0.00.00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imóveis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1.2.3.2.1.00.00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imóveis - consolidação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1.2.3.2.1.01.00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de uso especial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1.2.3.2.1.01.03</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Edifícios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35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50</w:t>
            </w:r>
          </w:p>
        </w:tc>
      </w:tr>
    </w:tbl>
    <w:p w:rsidR="008A3226" w:rsidRDefault="008A3226" w:rsidP="00807064">
      <w:pPr>
        <w:spacing w:after="0" w:line="240" w:lineRule="auto"/>
        <w:jc w:val="both"/>
        <w:rPr>
          <w:rFonts w:ascii="Arial" w:hAnsi="Arial" w:cs="Arial"/>
          <w:b/>
          <w:color w:val="215868" w:themeColor="accent5" w:themeShade="80"/>
          <w:sz w:val="24"/>
          <w:szCs w:val="24"/>
        </w:rPr>
      </w:pPr>
    </w:p>
    <w:p w:rsidR="008A3226" w:rsidRPr="00116D9A" w:rsidRDefault="0005692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e</w:t>
      </w:r>
      <w:r w:rsidR="008A3226" w:rsidRPr="00116D9A">
        <w:rPr>
          <w:rFonts w:ascii="Arial" w:hAnsi="Arial" w:cs="Arial"/>
          <w:color w:val="215868" w:themeColor="accent5" w:themeShade="80"/>
          <w:sz w:val="24"/>
          <w:szCs w:val="24"/>
        </w:rPr>
        <w:t>) Valor econômico do patrimônio</w:t>
      </w: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 xml:space="preserve">Apresenta-se o </w:t>
      </w:r>
      <w:r w:rsidR="00CD170A" w:rsidRPr="00116D9A">
        <w:rPr>
          <w:rFonts w:ascii="Arial" w:hAnsi="Arial" w:cs="Arial"/>
          <w:sz w:val="24"/>
          <w:szCs w:val="24"/>
        </w:rPr>
        <w:t>valor econômico do patrimônio do Município,</w:t>
      </w:r>
      <w:r w:rsidRPr="00116D9A">
        <w:rPr>
          <w:rFonts w:ascii="Arial" w:hAnsi="Arial" w:cs="Arial"/>
          <w:sz w:val="24"/>
          <w:szCs w:val="24"/>
        </w:rPr>
        <w:t xml:space="preserve"> atualizado por classe de bens, em 31 de dezembro de 201</w:t>
      </w:r>
      <w:r w:rsidR="00744919">
        <w:rPr>
          <w:rFonts w:ascii="Arial" w:hAnsi="Arial" w:cs="Arial"/>
          <w:sz w:val="24"/>
          <w:szCs w:val="24"/>
        </w:rPr>
        <w:t>9</w:t>
      </w:r>
      <w:r w:rsidRPr="00116D9A">
        <w:rPr>
          <w:rFonts w:ascii="Arial" w:hAnsi="Arial" w:cs="Arial"/>
          <w:sz w:val="24"/>
          <w:szCs w:val="24"/>
        </w:rPr>
        <w:t>:</w:t>
      </w:r>
    </w:p>
    <w:tbl>
      <w:tblPr>
        <w:tblStyle w:val="TabeladeGrade4-nfase52"/>
        <w:tblW w:w="9088" w:type="dxa"/>
        <w:tblInd w:w="108" w:type="dxa"/>
        <w:tblLayout w:type="fixed"/>
        <w:tblLook w:val="04A0" w:firstRow="1" w:lastRow="0" w:firstColumn="1" w:lastColumn="0" w:noHBand="0" w:noVBand="1"/>
      </w:tblPr>
      <w:tblGrid>
        <w:gridCol w:w="1410"/>
        <w:gridCol w:w="4686"/>
        <w:gridCol w:w="1496"/>
        <w:gridCol w:w="1496"/>
      </w:tblGrid>
      <w:tr w:rsidR="00F2128D"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271762">
            <w:pPr>
              <w:pStyle w:val="SemEspaamento"/>
              <w:rPr>
                <w:rFonts w:ascii="Arial" w:hAnsi="Arial" w:cs="Arial"/>
                <w:color w:val="auto"/>
                <w:sz w:val="20"/>
                <w:szCs w:val="20"/>
              </w:rPr>
            </w:pPr>
            <w:r w:rsidRPr="00271762">
              <w:rPr>
                <w:rFonts w:ascii="Arial" w:hAnsi="Arial" w:cs="Arial"/>
                <w:color w:val="auto"/>
                <w:sz w:val="20"/>
                <w:szCs w:val="20"/>
              </w:rPr>
              <w:lastRenderedPageBreak/>
              <w:t>CONTA</w:t>
            </w:r>
          </w:p>
        </w:tc>
        <w:tc>
          <w:tcPr>
            <w:tcW w:w="4686" w:type="dxa"/>
            <w:noWrap/>
          </w:tcPr>
          <w:p w:rsidR="00F2128D" w:rsidRPr="00271762" w:rsidRDefault="00F2128D"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DESCRIÇÃO</w:t>
            </w:r>
          </w:p>
        </w:tc>
        <w:tc>
          <w:tcPr>
            <w:tcW w:w="1496" w:type="dxa"/>
          </w:tcPr>
          <w:p w:rsidR="00F2128D" w:rsidRPr="00271762" w:rsidRDefault="00A43BF9"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color w:val="auto"/>
                <w:sz w:val="20"/>
                <w:szCs w:val="20"/>
              </w:rPr>
              <w:t>SALDO EM 31/12/2019</w:t>
            </w:r>
          </w:p>
        </w:tc>
        <w:tc>
          <w:tcPr>
            <w:tcW w:w="1496" w:type="dxa"/>
            <w:noWrap/>
          </w:tcPr>
          <w:p w:rsidR="00F2128D" w:rsidRPr="00271762" w:rsidRDefault="00F2128D"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SALDO EM 31/12/2018</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123110101</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de medição e orientação</w:t>
            </w:r>
          </w:p>
        </w:tc>
        <w:tc>
          <w:tcPr>
            <w:tcW w:w="1496" w:type="dxa"/>
          </w:tcPr>
          <w:p w:rsidR="00F2128D" w:rsidRPr="00271762" w:rsidRDefault="006D6B0C"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12.402,19</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8.929,08</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123110102</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equipamentos de comunicação</w:t>
            </w:r>
          </w:p>
        </w:tc>
        <w:tc>
          <w:tcPr>
            <w:tcW w:w="1496" w:type="dxa"/>
          </w:tcPr>
          <w:p w:rsidR="00F2128D" w:rsidRPr="00271762" w:rsidRDefault="006D6B0C" w:rsidP="00426F2E">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15.970,44</w:t>
            </w:r>
          </w:p>
        </w:tc>
        <w:tc>
          <w:tcPr>
            <w:tcW w:w="1496" w:type="dxa"/>
            <w:noWrap/>
          </w:tcPr>
          <w:p w:rsidR="00F2128D" w:rsidRPr="00271762" w:rsidRDefault="00F2128D" w:rsidP="00426F2E">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27.956,06</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123110103</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equipamentos e utensílios médicos, odontológicos</w:t>
            </w:r>
          </w:p>
        </w:tc>
        <w:tc>
          <w:tcPr>
            <w:tcW w:w="1496" w:type="dxa"/>
          </w:tcPr>
          <w:p w:rsidR="00F2128D" w:rsidRPr="00271762" w:rsidRDefault="006D6B0C"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92.256,08</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154.742,47</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123110104</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equipamentos para esporte e diversão</w:t>
            </w:r>
          </w:p>
        </w:tc>
        <w:tc>
          <w:tcPr>
            <w:tcW w:w="1496" w:type="dxa"/>
          </w:tcPr>
          <w:p w:rsidR="00F2128D" w:rsidRPr="00271762" w:rsidRDefault="006D6B0C"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140.063,35</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136.581,40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123110105</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proteção, segurança e socorro</w:t>
            </w:r>
          </w:p>
        </w:tc>
        <w:tc>
          <w:tcPr>
            <w:tcW w:w="1496" w:type="dxa"/>
          </w:tcPr>
          <w:p w:rsidR="00F2128D" w:rsidRPr="00271762" w:rsidRDefault="006D6B0C"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170,14</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2.600,14</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123110106</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Equipamentos Industriais</w:t>
            </w:r>
          </w:p>
        </w:tc>
        <w:tc>
          <w:tcPr>
            <w:tcW w:w="1496" w:type="dxa"/>
          </w:tcPr>
          <w:p w:rsidR="00F2128D" w:rsidRPr="00271762" w:rsidRDefault="006D6B0C"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0,00</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1.598,40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DC33D0">
            <w:pPr>
              <w:pStyle w:val="SemEspaamento"/>
              <w:jc w:val="both"/>
              <w:rPr>
                <w:rFonts w:ascii="Arial" w:hAnsi="Arial" w:cs="Arial"/>
                <w:sz w:val="20"/>
                <w:szCs w:val="20"/>
              </w:rPr>
            </w:pPr>
            <w:r w:rsidRPr="00271762">
              <w:rPr>
                <w:rFonts w:ascii="Arial" w:hAnsi="Arial" w:cs="Arial"/>
                <w:sz w:val="20"/>
                <w:szCs w:val="20"/>
              </w:rPr>
              <w:t>123110107</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Equipamentos Energéticos</w:t>
            </w:r>
          </w:p>
        </w:tc>
        <w:tc>
          <w:tcPr>
            <w:tcW w:w="1496" w:type="dxa"/>
          </w:tcPr>
          <w:p w:rsidR="00F2128D" w:rsidRPr="00271762" w:rsidRDefault="006D6B0C"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23.163,85</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25.880,41</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DC33D0">
            <w:pPr>
              <w:pStyle w:val="SemEspaamento"/>
              <w:jc w:val="both"/>
              <w:rPr>
                <w:rFonts w:ascii="Arial" w:hAnsi="Arial" w:cs="Arial"/>
                <w:sz w:val="20"/>
                <w:szCs w:val="20"/>
              </w:rPr>
            </w:pPr>
            <w:r w:rsidRPr="00271762">
              <w:rPr>
                <w:rFonts w:ascii="Arial" w:hAnsi="Arial" w:cs="Arial"/>
                <w:sz w:val="20"/>
                <w:szCs w:val="20"/>
              </w:rPr>
              <w:t>123110108</w:t>
            </w:r>
          </w:p>
        </w:tc>
        <w:tc>
          <w:tcPr>
            <w:tcW w:w="4686" w:type="dxa"/>
            <w:noWrap/>
          </w:tcPr>
          <w:p w:rsidR="00F2128D" w:rsidRPr="00271762" w:rsidRDefault="00F2128D" w:rsidP="00F047B9">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Equipamentos Gráficos</w:t>
            </w:r>
          </w:p>
        </w:tc>
        <w:tc>
          <w:tcPr>
            <w:tcW w:w="1496" w:type="dxa"/>
          </w:tcPr>
          <w:p w:rsidR="00F2128D" w:rsidRPr="00271762" w:rsidRDefault="006D6B0C"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0,00</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2.218,00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123110109</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ferramentas e utensílios de oficina</w:t>
            </w:r>
          </w:p>
        </w:tc>
        <w:tc>
          <w:tcPr>
            <w:tcW w:w="1496" w:type="dxa"/>
          </w:tcPr>
          <w:p w:rsidR="00F2128D" w:rsidRPr="00271762" w:rsidRDefault="000B5FB7"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w:t>
            </w:r>
            <w:r w:rsidR="00A43BF9" w:rsidRPr="00271762">
              <w:rPr>
                <w:rFonts w:ascii="Arial" w:hAnsi="Arial" w:cs="Arial"/>
                <w:bCs/>
                <w:sz w:val="20"/>
                <w:szCs w:val="20"/>
              </w:rPr>
              <w:t>.657,00</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18.209,40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F047B9">
            <w:pPr>
              <w:pStyle w:val="SemEspaamento"/>
              <w:jc w:val="both"/>
              <w:rPr>
                <w:rFonts w:ascii="Arial" w:hAnsi="Arial" w:cs="Arial"/>
                <w:sz w:val="20"/>
                <w:szCs w:val="20"/>
              </w:rPr>
            </w:pPr>
            <w:r w:rsidRPr="00271762">
              <w:rPr>
                <w:rFonts w:ascii="Arial" w:hAnsi="Arial" w:cs="Arial"/>
                <w:sz w:val="20"/>
                <w:szCs w:val="20"/>
              </w:rPr>
              <w:t>123110112</w:t>
            </w:r>
          </w:p>
        </w:tc>
        <w:tc>
          <w:tcPr>
            <w:tcW w:w="4686" w:type="dxa"/>
            <w:noWrap/>
          </w:tcPr>
          <w:p w:rsidR="00F2128D" w:rsidRPr="00271762" w:rsidRDefault="00F2128D" w:rsidP="00F047B9">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Peças e Acessórios Para Automóveis</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19.552,61</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36.809,40</w:t>
            </w:r>
          </w:p>
        </w:tc>
      </w:tr>
      <w:tr w:rsidR="00A43BF9"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A43BF9" w:rsidRPr="00271762" w:rsidRDefault="00A43BF9" w:rsidP="00807064">
            <w:pPr>
              <w:pStyle w:val="SemEspaamento"/>
              <w:jc w:val="both"/>
              <w:rPr>
                <w:rFonts w:ascii="Arial" w:hAnsi="Arial" w:cs="Arial"/>
                <w:sz w:val="20"/>
                <w:szCs w:val="20"/>
              </w:rPr>
            </w:pPr>
            <w:r w:rsidRPr="00271762">
              <w:rPr>
                <w:rFonts w:ascii="Arial" w:hAnsi="Arial" w:cs="Arial"/>
                <w:sz w:val="20"/>
                <w:szCs w:val="20"/>
              </w:rPr>
              <w:t>123110113</w:t>
            </w:r>
          </w:p>
        </w:tc>
        <w:tc>
          <w:tcPr>
            <w:tcW w:w="4686" w:type="dxa"/>
            <w:noWrap/>
          </w:tcPr>
          <w:p w:rsidR="00A43BF9" w:rsidRPr="00271762" w:rsidRDefault="00A43BF9"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Equipamentos, peças e acessórios </w:t>
            </w:r>
            <w:r w:rsidR="00744919" w:rsidRPr="00271762">
              <w:rPr>
                <w:rFonts w:ascii="Arial" w:hAnsi="Arial" w:cs="Arial"/>
                <w:sz w:val="20"/>
                <w:szCs w:val="20"/>
              </w:rPr>
              <w:t>marítimos</w:t>
            </w:r>
          </w:p>
        </w:tc>
        <w:tc>
          <w:tcPr>
            <w:tcW w:w="1496" w:type="dxa"/>
          </w:tcPr>
          <w:p w:rsidR="00A43BF9"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650,00</w:t>
            </w:r>
          </w:p>
        </w:tc>
        <w:tc>
          <w:tcPr>
            <w:tcW w:w="1496" w:type="dxa"/>
            <w:noWrap/>
          </w:tcPr>
          <w:p w:rsidR="00A43BF9"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123110119</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equipamentos e utensílios agropecuários</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644.091,83</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943.858,20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123110120</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equipamentos e utensílios rodoviários</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3.213.428,80</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723.894,00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123110121</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Equipamentos </w:t>
            </w:r>
            <w:r w:rsidR="00744919" w:rsidRPr="00271762">
              <w:rPr>
                <w:rFonts w:ascii="Arial" w:hAnsi="Arial" w:cs="Arial"/>
                <w:sz w:val="20"/>
                <w:szCs w:val="20"/>
              </w:rPr>
              <w:t>hidráulicos</w:t>
            </w:r>
            <w:r w:rsidRPr="00271762">
              <w:rPr>
                <w:rFonts w:ascii="Arial" w:hAnsi="Arial" w:cs="Arial"/>
                <w:sz w:val="20"/>
                <w:szCs w:val="20"/>
              </w:rPr>
              <w:t xml:space="preserve"> e elétricos</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6.557,78</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13.170,00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123110199</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Outras máquinas, aparelhos, equipamentos e ferramentas</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26.765,54</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83.631,00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123110201</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processamentos de dados</w:t>
            </w:r>
          </w:p>
        </w:tc>
        <w:tc>
          <w:tcPr>
            <w:tcW w:w="1496" w:type="dxa"/>
          </w:tcPr>
          <w:p w:rsidR="00F2128D" w:rsidRPr="00271762" w:rsidRDefault="00A43BF9" w:rsidP="00F047B9">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86.897,69</w:t>
            </w:r>
          </w:p>
        </w:tc>
        <w:tc>
          <w:tcPr>
            <w:tcW w:w="1496" w:type="dxa"/>
            <w:noWrap/>
          </w:tcPr>
          <w:p w:rsidR="00F2128D" w:rsidRPr="00271762" w:rsidRDefault="00F2128D" w:rsidP="00F047B9">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145.101,35</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123110202</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tecnologia da informação</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36.730,06</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155.082,38</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123110301</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utensílios domésticos</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136.335,38</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141.265,13</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123110302</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utensílios de escritório</w:t>
            </w:r>
          </w:p>
        </w:tc>
        <w:tc>
          <w:tcPr>
            <w:tcW w:w="1496" w:type="dxa"/>
          </w:tcPr>
          <w:p w:rsidR="00F2128D" w:rsidRPr="00271762" w:rsidRDefault="00A43BF9" w:rsidP="00BE6935">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2.339,39</w:t>
            </w:r>
          </w:p>
        </w:tc>
        <w:tc>
          <w:tcPr>
            <w:tcW w:w="1496" w:type="dxa"/>
            <w:noWrap/>
          </w:tcPr>
          <w:p w:rsidR="00F2128D" w:rsidRPr="00271762" w:rsidRDefault="00F2128D" w:rsidP="00BE6935">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7.988,32</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hideMark/>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123110303</w:t>
            </w:r>
          </w:p>
        </w:tc>
        <w:tc>
          <w:tcPr>
            <w:tcW w:w="4686" w:type="dxa"/>
            <w:noWrap/>
            <w:hideMark/>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Mobiliário em geral</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304.226,17</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381.326,69</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123110304</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Utensílios em geral</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23.198,34</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48.527,55</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123110402</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Coleções e Materiais Bibliográficos</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0,00</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3.600,00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123110404</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Instrumentos musicais e </w:t>
            </w:r>
            <w:r w:rsidR="00A43BF9" w:rsidRPr="00271762">
              <w:rPr>
                <w:rFonts w:ascii="Arial" w:hAnsi="Arial" w:cs="Arial"/>
                <w:sz w:val="20"/>
                <w:szCs w:val="20"/>
              </w:rPr>
              <w:t>artísticos</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17.490,00</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3.452,25</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123110405</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para áudio, vídeo e foto</w:t>
            </w:r>
          </w:p>
        </w:tc>
        <w:tc>
          <w:tcPr>
            <w:tcW w:w="1496" w:type="dxa"/>
          </w:tcPr>
          <w:p w:rsidR="00F2128D" w:rsidRPr="00271762" w:rsidRDefault="00A43BF9"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45.150,97</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50.824,55</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123110406</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Obras de Arte e Peças Para Exposição</w:t>
            </w:r>
          </w:p>
        </w:tc>
        <w:tc>
          <w:tcPr>
            <w:tcW w:w="1496" w:type="dxa"/>
          </w:tcPr>
          <w:p w:rsidR="00F2128D" w:rsidRPr="00271762" w:rsidRDefault="00A43BF9"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0,00</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7.376,00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123110499</w:t>
            </w:r>
          </w:p>
        </w:tc>
        <w:tc>
          <w:tcPr>
            <w:tcW w:w="4686" w:type="dxa"/>
            <w:noWrap/>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Outros materiais culturais, educacionais e de comunicação</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4.374,50</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4.546,00</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bCs w:val="0"/>
                <w:sz w:val="20"/>
                <w:szCs w:val="20"/>
              </w:rPr>
            </w:pPr>
            <w:r w:rsidRPr="00271762">
              <w:rPr>
                <w:rFonts w:ascii="Arial" w:hAnsi="Arial" w:cs="Arial"/>
                <w:bCs w:val="0"/>
                <w:sz w:val="20"/>
                <w:szCs w:val="20"/>
              </w:rPr>
              <w:t>123110503</w:t>
            </w:r>
          </w:p>
        </w:tc>
        <w:tc>
          <w:tcPr>
            <w:tcW w:w="4686" w:type="dxa"/>
            <w:noWrap/>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Veículos de tração mecânica</w:t>
            </w:r>
          </w:p>
        </w:tc>
        <w:tc>
          <w:tcPr>
            <w:tcW w:w="1496" w:type="dxa"/>
          </w:tcPr>
          <w:p w:rsidR="00F2128D" w:rsidRPr="00271762" w:rsidRDefault="002E6568" w:rsidP="00457F9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1.581.205,38</w:t>
            </w:r>
          </w:p>
        </w:tc>
        <w:tc>
          <w:tcPr>
            <w:tcW w:w="1496" w:type="dxa"/>
            <w:noWrap/>
          </w:tcPr>
          <w:p w:rsidR="00F2128D" w:rsidRPr="00271762" w:rsidRDefault="00F2128D" w:rsidP="00457F93">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2.841.060,00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bCs w:val="0"/>
                <w:sz w:val="20"/>
                <w:szCs w:val="20"/>
              </w:rPr>
            </w:pPr>
            <w:r w:rsidRPr="00271762">
              <w:rPr>
                <w:rFonts w:ascii="Arial" w:hAnsi="Arial" w:cs="Arial"/>
                <w:bCs w:val="0"/>
                <w:sz w:val="20"/>
                <w:szCs w:val="20"/>
              </w:rPr>
              <w:t>123210103</w:t>
            </w:r>
          </w:p>
        </w:tc>
        <w:tc>
          <w:tcPr>
            <w:tcW w:w="4686" w:type="dxa"/>
          </w:tcPr>
          <w:p w:rsidR="00F2128D" w:rsidRPr="00271762" w:rsidRDefault="00744919"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Edifícios</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7.721.726,56</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5.843.531,05</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bCs w:val="0"/>
                <w:sz w:val="20"/>
                <w:szCs w:val="20"/>
              </w:rPr>
            </w:pPr>
            <w:r w:rsidRPr="00271762">
              <w:rPr>
                <w:rFonts w:ascii="Arial" w:hAnsi="Arial" w:cs="Arial"/>
                <w:bCs w:val="0"/>
                <w:sz w:val="20"/>
                <w:szCs w:val="20"/>
              </w:rPr>
              <w:t>123210104</w:t>
            </w:r>
          </w:p>
        </w:tc>
        <w:tc>
          <w:tcPr>
            <w:tcW w:w="4686" w:type="dxa"/>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Terrenos/glebas</w:t>
            </w:r>
          </w:p>
        </w:tc>
        <w:tc>
          <w:tcPr>
            <w:tcW w:w="1496" w:type="dxa"/>
          </w:tcPr>
          <w:p w:rsidR="00F2128D" w:rsidRPr="00271762" w:rsidRDefault="002E6568"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2.643.182,63</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2.306.689,98</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bCs w:val="0"/>
                <w:sz w:val="20"/>
                <w:szCs w:val="20"/>
              </w:rPr>
            </w:pPr>
            <w:r w:rsidRPr="00271762">
              <w:rPr>
                <w:rFonts w:ascii="Arial" w:hAnsi="Arial" w:cs="Arial"/>
                <w:bCs w:val="0"/>
                <w:sz w:val="20"/>
                <w:szCs w:val="20"/>
              </w:rPr>
              <w:t>123210501</w:t>
            </w:r>
          </w:p>
        </w:tc>
        <w:tc>
          <w:tcPr>
            <w:tcW w:w="4686" w:type="dxa"/>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Ruas</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1.389.047,76</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1.372.851,99</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3E4085">
            <w:pPr>
              <w:pStyle w:val="SemEspaamento"/>
              <w:jc w:val="both"/>
              <w:rPr>
                <w:rFonts w:ascii="Arial" w:hAnsi="Arial" w:cs="Arial"/>
                <w:bCs w:val="0"/>
                <w:sz w:val="20"/>
                <w:szCs w:val="20"/>
              </w:rPr>
            </w:pPr>
            <w:r w:rsidRPr="00271762">
              <w:rPr>
                <w:rFonts w:ascii="Arial" w:hAnsi="Arial" w:cs="Arial"/>
                <w:bCs w:val="0"/>
                <w:sz w:val="20"/>
                <w:szCs w:val="20"/>
              </w:rPr>
              <w:t>123210507</w:t>
            </w:r>
          </w:p>
        </w:tc>
        <w:tc>
          <w:tcPr>
            <w:tcW w:w="4686" w:type="dxa"/>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Sistema de Abastecimento de Energia</w:t>
            </w:r>
          </w:p>
        </w:tc>
        <w:tc>
          <w:tcPr>
            <w:tcW w:w="1496" w:type="dxa"/>
          </w:tcPr>
          <w:p w:rsidR="00F2128D" w:rsidRPr="00271762" w:rsidRDefault="002E6568"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18.380,00</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18.380,00</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bCs w:val="0"/>
                <w:sz w:val="20"/>
                <w:szCs w:val="20"/>
              </w:rPr>
            </w:pPr>
            <w:r w:rsidRPr="00271762">
              <w:rPr>
                <w:rFonts w:ascii="Arial" w:hAnsi="Arial" w:cs="Arial"/>
                <w:bCs w:val="0"/>
                <w:sz w:val="20"/>
                <w:szCs w:val="20"/>
              </w:rPr>
              <w:t>123210601</w:t>
            </w:r>
          </w:p>
        </w:tc>
        <w:tc>
          <w:tcPr>
            <w:tcW w:w="4686" w:type="dxa"/>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Obras em andamento</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1.336.988,98</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574.606,94</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123810101</w:t>
            </w:r>
          </w:p>
        </w:tc>
        <w:tc>
          <w:tcPr>
            <w:tcW w:w="4686" w:type="dxa"/>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 Depreciação acumulada maq. Aparelhos e </w:t>
            </w:r>
            <w:proofErr w:type="spellStart"/>
            <w:r w:rsidRPr="00271762">
              <w:rPr>
                <w:rFonts w:ascii="Arial" w:hAnsi="Arial" w:cs="Arial"/>
                <w:sz w:val="20"/>
                <w:szCs w:val="20"/>
              </w:rPr>
              <w:t>equip</w:t>
            </w:r>
            <w:proofErr w:type="spellEnd"/>
            <w:r w:rsidRPr="00271762">
              <w:rPr>
                <w:rFonts w:ascii="Arial" w:hAnsi="Arial" w:cs="Arial"/>
                <w:sz w:val="20"/>
                <w:szCs w:val="20"/>
              </w:rPr>
              <w:t>.</w:t>
            </w:r>
          </w:p>
        </w:tc>
        <w:tc>
          <w:tcPr>
            <w:tcW w:w="1496" w:type="dxa"/>
          </w:tcPr>
          <w:p w:rsidR="00F2128D" w:rsidRPr="00271762" w:rsidRDefault="002E6568"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19.785,81</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673.020,86</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123810102</w:t>
            </w:r>
          </w:p>
        </w:tc>
        <w:tc>
          <w:tcPr>
            <w:tcW w:w="4686" w:type="dxa"/>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 Depreciação acumulada bens de </w:t>
            </w:r>
            <w:r w:rsidR="002E6568" w:rsidRPr="00271762">
              <w:rPr>
                <w:rFonts w:ascii="Arial" w:hAnsi="Arial" w:cs="Arial"/>
                <w:sz w:val="20"/>
                <w:szCs w:val="20"/>
              </w:rPr>
              <w:t>informática</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13.067,69</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143.592,73</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123810103</w:t>
            </w:r>
          </w:p>
        </w:tc>
        <w:tc>
          <w:tcPr>
            <w:tcW w:w="4686" w:type="dxa"/>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móveis e utensílios</w:t>
            </w:r>
          </w:p>
        </w:tc>
        <w:tc>
          <w:tcPr>
            <w:tcW w:w="1496" w:type="dxa"/>
          </w:tcPr>
          <w:p w:rsidR="00F2128D" w:rsidRPr="00271762" w:rsidRDefault="002E6568"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17.892,12</w:t>
            </w:r>
          </w:p>
        </w:tc>
        <w:tc>
          <w:tcPr>
            <w:tcW w:w="1496" w:type="dxa"/>
            <w:noWrap/>
          </w:tcPr>
          <w:p w:rsidR="00F2128D" w:rsidRPr="00271762" w:rsidRDefault="00F2128D" w:rsidP="00807064">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216.641,55</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123810104</w:t>
            </w:r>
          </w:p>
        </w:tc>
        <w:tc>
          <w:tcPr>
            <w:tcW w:w="4686" w:type="dxa"/>
          </w:tcPr>
          <w:p w:rsidR="00F2128D" w:rsidRPr="00271762" w:rsidRDefault="00F2128D"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 Depreciação acumulada de materiais cult. </w:t>
            </w:r>
            <w:r w:rsidR="002E6568" w:rsidRPr="00271762">
              <w:rPr>
                <w:rFonts w:ascii="Arial" w:hAnsi="Arial" w:cs="Arial"/>
                <w:sz w:val="20"/>
                <w:szCs w:val="20"/>
              </w:rPr>
              <w:t>Educação</w:t>
            </w:r>
            <w:r w:rsidRPr="00271762">
              <w:rPr>
                <w:rFonts w:ascii="Arial" w:hAnsi="Arial" w:cs="Arial"/>
                <w:sz w:val="20"/>
                <w:szCs w:val="20"/>
              </w:rPr>
              <w:t>.</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4.723,87</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30.068,32</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123810105</w:t>
            </w:r>
          </w:p>
        </w:tc>
        <w:tc>
          <w:tcPr>
            <w:tcW w:w="4686" w:type="dxa"/>
          </w:tcPr>
          <w:p w:rsidR="00F2128D" w:rsidRPr="00271762" w:rsidRDefault="00F2128D"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veículos.</w:t>
            </w:r>
          </w:p>
        </w:tc>
        <w:tc>
          <w:tcPr>
            <w:tcW w:w="1496" w:type="dxa"/>
          </w:tcPr>
          <w:p w:rsidR="00F2128D" w:rsidRPr="00271762" w:rsidRDefault="002E6568" w:rsidP="003E4085">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15.505,39</w:t>
            </w:r>
          </w:p>
        </w:tc>
        <w:tc>
          <w:tcPr>
            <w:tcW w:w="1496" w:type="dxa"/>
            <w:noWrap/>
          </w:tcPr>
          <w:p w:rsidR="00F2128D" w:rsidRPr="00271762" w:rsidRDefault="00F2128D" w:rsidP="003E4085">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1.138.664,88</w:t>
            </w:r>
          </w:p>
        </w:tc>
      </w:tr>
      <w:tr w:rsidR="00F2128D"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807064">
            <w:pPr>
              <w:pStyle w:val="SemEspaamento"/>
              <w:jc w:val="both"/>
              <w:rPr>
                <w:rFonts w:ascii="Arial" w:hAnsi="Arial" w:cs="Arial"/>
                <w:sz w:val="20"/>
                <w:szCs w:val="20"/>
              </w:rPr>
            </w:pPr>
            <w:r w:rsidRPr="00271762">
              <w:rPr>
                <w:rFonts w:ascii="Arial" w:hAnsi="Arial" w:cs="Arial"/>
                <w:sz w:val="20"/>
                <w:szCs w:val="20"/>
              </w:rPr>
              <w:t>123810299</w:t>
            </w:r>
          </w:p>
        </w:tc>
        <w:tc>
          <w:tcPr>
            <w:tcW w:w="4686" w:type="dxa"/>
          </w:tcPr>
          <w:p w:rsidR="00F2128D" w:rsidRPr="00271762" w:rsidRDefault="00F2128D" w:rsidP="003E4085">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bens de Uso Especial</w:t>
            </w:r>
          </w:p>
        </w:tc>
        <w:tc>
          <w:tcPr>
            <w:tcW w:w="1496" w:type="dxa"/>
          </w:tcPr>
          <w:p w:rsidR="00F2128D" w:rsidRPr="00271762" w:rsidRDefault="002E6568"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9.227,27</w:t>
            </w:r>
          </w:p>
        </w:tc>
        <w:tc>
          <w:tcPr>
            <w:tcW w:w="1496" w:type="dxa"/>
            <w:noWrap/>
          </w:tcPr>
          <w:p w:rsidR="00F2128D" w:rsidRPr="00271762" w:rsidRDefault="00F2128D" w:rsidP="00807064">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351.455,58</w:t>
            </w:r>
          </w:p>
        </w:tc>
      </w:tr>
      <w:tr w:rsidR="00F2128D"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96" w:type="dxa"/>
            <w:gridSpan w:val="2"/>
            <w:noWrap/>
            <w:hideMark/>
          </w:tcPr>
          <w:p w:rsidR="00F2128D" w:rsidRPr="00271762" w:rsidRDefault="00F2128D" w:rsidP="00BE6935">
            <w:pPr>
              <w:pStyle w:val="SemEspaamento"/>
              <w:jc w:val="center"/>
              <w:rPr>
                <w:rFonts w:ascii="Arial" w:hAnsi="Arial" w:cs="Arial"/>
                <w:b w:val="0"/>
                <w:sz w:val="20"/>
                <w:szCs w:val="20"/>
              </w:rPr>
            </w:pPr>
            <w:r w:rsidRPr="00271762">
              <w:rPr>
                <w:rFonts w:ascii="Arial" w:hAnsi="Arial" w:cs="Arial"/>
                <w:sz w:val="20"/>
                <w:szCs w:val="20"/>
              </w:rPr>
              <w:t>Total</w:t>
            </w:r>
          </w:p>
        </w:tc>
        <w:tc>
          <w:tcPr>
            <w:tcW w:w="1496" w:type="dxa"/>
          </w:tcPr>
          <w:p w:rsidR="00F2128D" w:rsidRPr="00271762" w:rsidRDefault="000B5FB7" w:rsidP="007316BF">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71762">
              <w:rPr>
                <w:rFonts w:ascii="Arial" w:hAnsi="Arial" w:cs="Arial"/>
                <w:b/>
                <w:sz w:val="20"/>
                <w:szCs w:val="20"/>
              </w:rPr>
              <w:t>19.464.801,27</w:t>
            </w:r>
          </w:p>
        </w:tc>
        <w:tc>
          <w:tcPr>
            <w:tcW w:w="1496" w:type="dxa"/>
            <w:noWrap/>
          </w:tcPr>
          <w:p w:rsidR="00F2128D" w:rsidRPr="00271762" w:rsidRDefault="00F2128D" w:rsidP="007316BF">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71762">
              <w:rPr>
                <w:rFonts w:ascii="Arial" w:hAnsi="Arial" w:cs="Arial"/>
                <w:b/>
                <w:sz w:val="20"/>
                <w:szCs w:val="20"/>
              </w:rPr>
              <w:t>13.532.844,22</w:t>
            </w:r>
          </w:p>
        </w:tc>
      </w:tr>
    </w:tbl>
    <w:p w:rsidR="008A3226" w:rsidRPr="00116D9A" w:rsidRDefault="008A3226" w:rsidP="00807064">
      <w:pPr>
        <w:autoSpaceDE w:val="0"/>
        <w:autoSpaceDN w:val="0"/>
        <w:adjustRightInd w:val="0"/>
        <w:spacing w:after="0" w:line="240" w:lineRule="auto"/>
        <w:jc w:val="both"/>
        <w:rPr>
          <w:rFonts w:ascii="Arial" w:hAnsi="Arial" w:cs="Arial"/>
          <w:b/>
          <w:bCs/>
          <w:color w:val="215868" w:themeColor="accent5" w:themeShade="80"/>
        </w:rPr>
      </w:pPr>
    </w:p>
    <w:p w:rsidR="00F07C83" w:rsidRDefault="005254A5" w:rsidP="005254A5">
      <w:pPr>
        <w:autoSpaceDE w:val="0"/>
        <w:autoSpaceDN w:val="0"/>
        <w:adjustRightInd w:val="0"/>
        <w:spacing w:after="0" w:line="240" w:lineRule="auto"/>
        <w:jc w:val="both"/>
        <w:rPr>
          <w:rFonts w:ascii="Arial" w:hAnsi="Arial" w:cs="Arial"/>
          <w:sz w:val="24"/>
          <w:szCs w:val="24"/>
        </w:rPr>
      </w:pPr>
      <w:r w:rsidRPr="00FB372F">
        <w:rPr>
          <w:rFonts w:ascii="Arial" w:hAnsi="Arial" w:cs="Arial"/>
          <w:sz w:val="24"/>
          <w:szCs w:val="24"/>
        </w:rPr>
        <w:t xml:space="preserve">Compreende os direitos que tenham por objeto bens corpóreos destinados a manutenção das atividades da entidade ou exercidos com essa finalidade, inclusive </w:t>
      </w:r>
    </w:p>
    <w:p w:rsidR="00F07C83" w:rsidRDefault="00F07C83" w:rsidP="005254A5">
      <w:pPr>
        <w:autoSpaceDE w:val="0"/>
        <w:autoSpaceDN w:val="0"/>
        <w:adjustRightInd w:val="0"/>
        <w:spacing w:after="0" w:line="240" w:lineRule="auto"/>
        <w:jc w:val="both"/>
        <w:rPr>
          <w:rFonts w:ascii="Arial" w:hAnsi="Arial" w:cs="Arial"/>
          <w:sz w:val="24"/>
          <w:szCs w:val="24"/>
        </w:rPr>
      </w:pPr>
    </w:p>
    <w:p w:rsidR="00F07C83" w:rsidRDefault="00F07C83" w:rsidP="005254A5">
      <w:pPr>
        <w:autoSpaceDE w:val="0"/>
        <w:autoSpaceDN w:val="0"/>
        <w:adjustRightInd w:val="0"/>
        <w:spacing w:after="0" w:line="240" w:lineRule="auto"/>
        <w:jc w:val="both"/>
        <w:rPr>
          <w:rFonts w:ascii="Arial" w:hAnsi="Arial" w:cs="Arial"/>
          <w:sz w:val="24"/>
          <w:szCs w:val="24"/>
        </w:rPr>
      </w:pPr>
    </w:p>
    <w:p w:rsidR="005254A5" w:rsidRDefault="005254A5" w:rsidP="005254A5">
      <w:pPr>
        <w:autoSpaceDE w:val="0"/>
        <w:autoSpaceDN w:val="0"/>
        <w:adjustRightInd w:val="0"/>
        <w:spacing w:after="0" w:line="240" w:lineRule="auto"/>
        <w:jc w:val="both"/>
        <w:rPr>
          <w:rFonts w:ascii="Arial" w:hAnsi="Arial" w:cs="Arial"/>
          <w:b/>
          <w:bCs/>
          <w:color w:val="215868" w:themeColor="accent5" w:themeShade="80"/>
          <w:sz w:val="24"/>
          <w:szCs w:val="24"/>
        </w:rPr>
      </w:pPr>
      <w:r w:rsidRPr="00FB372F">
        <w:rPr>
          <w:rFonts w:ascii="Arial" w:hAnsi="Arial" w:cs="Arial"/>
          <w:sz w:val="24"/>
          <w:szCs w:val="24"/>
        </w:rPr>
        <w:t>os decorrentes de operações que transfiram a ela os benefícios, os riscos e o controle desses bens</w:t>
      </w:r>
      <w:r>
        <w:rPr>
          <w:rFonts w:ascii="Arial" w:hAnsi="Arial" w:cs="Arial"/>
          <w:sz w:val="24"/>
          <w:szCs w:val="24"/>
        </w:rPr>
        <w:t>.</w:t>
      </w:r>
    </w:p>
    <w:p w:rsidR="00DA7DC9" w:rsidRDefault="00DA7DC9" w:rsidP="00807064">
      <w:pPr>
        <w:autoSpaceDE w:val="0"/>
        <w:autoSpaceDN w:val="0"/>
        <w:adjustRightInd w:val="0"/>
        <w:spacing w:after="0" w:line="240" w:lineRule="auto"/>
        <w:jc w:val="both"/>
        <w:rPr>
          <w:rFonts w:ascii="Arial" w:hAnsi="Arial" w:cs="Arial"/>
        </w:rPr>
      </w:pPr>
    </w:p>
    <w:p w:rsidR="006E41ED" w:rsidRPr="001954DC" w:rsidRDefault="006E41ED" w:rsidP="006E41ED">
      <w:pPr>
        <w:autoSpaceDE w:val="0"/>
        <w:autoSpaceDN w:val="0"/>
        <w:adjustRightInd w:val="0"/>
        <w:spacing w:after="0" w:line="240" w:lineRule="auto"/>
        <w:jc w:val="both"/>
        <w:rPr>
          <w:rFonts w:ascii="Arial" w:hAnsi="Arial" w:cs="Arial"/>
          <w:sz w:val="24"/>
          <w:szCs w:val="24"/>
        </w:rPr>
      </w:pPr>
      <w:r w:rsidRPr="001954DC">
        <w:rPr>
          <w:rFonts w:ascii="Arial" w:hAnsi="Arial" w:cs="Arial"/>
          <w:sz w:val="24"/>
          <w:szCs w:val="24"/>
        </w:rPr>
        <w:t>Nota-se que o valor da depreciação reduziu, pois, o valor monetário dos bens foi atualizado na data de dezembro de 2019, zerada a depreciação e reiniciado o processo.</w:t>
      </w:r>
    </w:p>
    <w:p w:rsidR="005254A5" w:rsidRDefault="005254A5" w:rsidP="00807064">
      <w:pPr>
        <w:autoSpaceDE w:val="0"/>
        <w:autoSpaceDN w:val="0"/>
        <w:adjustRightInd w:val="0"/>
        <w:spacing w:after="0" w:line="240" w:lineRule="auto"/>
        <w:jc w:val="both"/>
        <w:rPr>
          <w:rFonts w:ascii="Arial" w:hAnsi="Arial" w:cs="Arial"/>
        </w:rPr>
      </w:pPr>
    </w:p>
    <w:p w:rsidR="006E41ED" w:rsidRPr="003D4CE4" w:rsidRDefault="006E41ED" w:rsidP="006E41ED">
      <w:pPr>
        <w:autoSpaceDE w:val="0"/>
        <w:autoSpaceDN w:val="0"/>
        <w:adjustRightInd w:val="0"/>
        <w:spacing w:after="0" w:line="240" w:lineRule="auto"/>
        <w:jc w:val="both"/>
        <w:rPr>
          <w:rFonts w:ascii="Arial" w:hAnsi="Arial" w:cs="Arial"/>
          <w:sz w:val="24"/>
          <w:szCs w:val="24"/>
        </w:rPr>
      </w:pPr>
      <w:r w:rsidRPr="003D4CE4">
        <w:rPr>
          <w:rFonts w:ascii="Arial" w:hAnsi="Arial" w:cs="Arial"/>
          <w:sz w:val="24"/>
          <w:szCs w:val="24"/>
        </w:rPr>
        <w:t xml:space="preserve">O valor do patrimônio imobilizado, já liquido da depreciação, aumentou </w:t>
      </w:r>
      <w:r>
        <w:rPr>
          <w:rFonts w:ascii="Arial" w:hAnsi="Arial" w:cs="Arial"/>
          <w:sz w:val="24"/>
          <w:szCs w:val="24"/>
        </w:rPr>
        <w:t>43,83</w:t>
      </w:r>
      <w:r w:rsidRPr="003D4CE4">
        <w:rPr>
          <w:rFonts w:ascii="Arial" w:hAnsi="Arial" w:cs="Arial"/>
          <w:sz w:val="24"/>
          <w:szCs w:val="24"/>
        </w:rPr>
        <w:t>%, de 2018 para 2019, tendo em vista os investimentos na aquisição de ativos não circulantes, e a atualização física e contábil do patrimônio, realizada em 2019.</w:t>
      </w:r>
    </w:p>
    <w:p w:rsidR="006E41ED" w:rsidRDefault="006E41ED" w:rsidP="00807064">
      <w:pPr>
        <w:autoSpaceDE w:val="0"/>
        <w:autoSpaceDN w:val="0"/>
        <w:adjustRightInd w:val="0"/>
        <w:spacing w:after="0" w:line="240" w:lineRule="auto"/>
        <w:jc w:val="both"/>
        <w:rPr>
          <w:rFonts w:ascii="Arial" w:hAnsi="Arial" w:cs="Arial"/>
        </w:rPr>
      </w:pPr>
    </w:p>
    <w:p w:rsidR="008A3226"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056926" w:rsidRPr="00056926" w:rsidRDefault="00056926" w:rsidP="00807064">
      <w:pPr>
        <w:autoSpaceDE w:val="0"/>
        <w:autoSpaceDN w:val="0"/>
        <w:adjustRightInd w:val="0"/>
        <w:spacing w:after="0" w:line="240" w:lineRule="auto"/>
        <w:jc w:val="both"/>
        <w:rPr>
          <w:rFonts w:ascii="Arial" w:hAnsi="Arial" w:cs="Arial"/>
          <w:b/>
          <w:color w:val="984806" w:themeColor="accent6" w:themeShade="80"/>
          <w:sz w:val="24"/>
          <w:szCs w:val="24"/>
        </w:rPr>
      </w:pPr>
    </w:p>
    <w:p w:rsidR="00056926" w:rsidRPr="00056926" w:rsidRDefault="00056926" w:rsidP="00807064">
      <w:pPr>
        <w:autoSpaceDE w:val="0"/>
        <w:autoSpaceDN w:val="0"/>
        <w:adjustRightInd w:val="0"/>
        <w:spacing w:after="0" w:line="240" w:lineRule="auto"/>
        <w:jc w:val="both"/>
        <w:rPr>
          <w:rFonts w:ascii="Arial" w:hAnsi="Arial" w:cs="Arial"/>
          <w:b/>
          <w:color w:val="984806" w:themeColor="accent6" w:themeShade="80"/>
          <w:sz w:val="24"/>
          <w:szCs w:val="24"/>
        </w:rPr>
      </w:pPr>
    </w:p>
    <w:p w:rsidR="008A3226" w:rsidRPr="00EA631D" w:rsidRDefault="00744919" w:rsidP="00056926">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a)</w:t>
      </w:r>
      <w:r w:rsidRPr="00EA631D">
        <w:rPr>
          <w:rFonts w:ascii="Arial" w:hAnsi="Arial" w:cs="Arial"/>
          <w:color w:val="215868" w:themeColor="accent5" w:themeShade="80"/>
          <w:sz w:val="24"/>
          <w:szCs w:val="24"/>
        </w:rPr>
        <w:t xml:space="preserve"> Obrigações</w:t>
      </w:r>
    </w:p>
    <w:p w:rsidR="008A3226" w:rsidRPr="00116D9A" w:rsidRDefault="008A3226"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Saldo das obrigações para 201</w:t>
      </w:r>
      <w:r w:rsidR="000B5FB7">
        <w:rPr>
          <w:rFonts w:ascii="Arial" w:hAnsi="Arial" w:cs="Arial"/>
          <w:sz w:val="24"/>
          <w:szCs w:val="24"/>
        </w:rPr>
        <w:t>9</w:t>
      </w:r>
      <w:r w:rsidRPr="00116D9A">
        <w:rPr>
          <w:rFonts w:ascii="Arial" w:hAnsi="Arial" w:cs="Arial"/>
          <w:sz w:val="24"/>
          <w:szCs w:val="24"/>
        </w:rPr>
        <w:t>:</w:t>
      </w:r>
    </w:p>
    <w:tbl>
      <w:tblPr>
        <w:tblStyle w:val="TabeladeGrade4-nfase52"/>
        <w:tblW w:w="9072" w:type="dxa"/>
        <w:tblInd w:w="108" w:type="dxa"/>
        <w:tblLook w:val="04A0" w:firstRow="1" w:lastRow="0" w:firstColumn="1" w:lastColumn="0" w:noHBand="0" w:noVBand="1"/>
      </w:tblPr>
      <w:tblGrid>
        <w:gridCol w:w="1558"/>
        <w:gridCol w:w="4913"/>
        <w:gridCol w:w="1384"/>
        <w:gridCol w:w="1217"/>
      </w:tblGrid>
      <w:tr w:rsidR="00542D28" w:rsidRPr="00116D9A" w:rsidTr="00542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42D28" w:rsidRPr="00271762" w:rsidRDefault="00271762" w:rsidP="00807064">
            <w:pPr>
              <w:autoSpaceDE w:val="0"/>
              <w:autoSpaceDN w:val="0"/>
              <w:adjustRightInd w:val="0"/>
              <w:rPr>
                <w:rFonts w:ascii="Arial" w:hAnsi="Arial" w:cs="Arial"/>
                <w:color w:val="auto"/>
                <w:sz w:val="20"/>
                <w:szCs w:val="20"/>
              </w:rPr>
            </w:pPr>
            <w:r w:rsidRPr="00271762">
              <w:rPr>
                <w:rFonts w:ascii="Arial" w:hAnsi="Arial" w:cs="Arial"/>
                <w:color w:val="auto"/>
                <w:sz w:val="20"/>
                <w:szCs w:val="20"/>
              </w:rPr>
              <w:t>CONTA</w:t>
            </w:r>
          </w:p>
        </w:tc>
        <w:tc>
          <w:tcPr>
            <w:tcW w:w="4913" w:type="dxa"/>
          </w:tcPr>
          <w:p w:rsidR="00542D28" w:rsidRPr="00271762" w:rsidRDefault="0027176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PASSIVO CIRCULANTE</w:t>
            </w:r>
          </w:p>
        </w:tc>
        <w:tc>
          <w:tcPr>
            <w:tcW w:w="1384" w:type="dxa"/>
          </w:tcPr>
          <w:p w:rsidR="00542D28" w:rsidRPr="00271762" w:rsidRDefault="0027176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2019</w:t>
            </w:r>
          </w:p>
        </w:tc>
        <w:tc>
          <w:tcPr>
            <w:tcW w:w="1217" w:type="dxa"/>
          </w:tcPr>
          <w:p w:rsidR="00542D28" w:rsidRPr="00271762" w:rsidRDefault="0027176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2018</w:t>
            </w:r>
          </w:p>
        </w:tc>
      </w:tr>
      <w:tr w:rsidR="000B5FB7"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0B5FB7" w:rsidRPr="00116D9A" w:rsidRDefault="000B5FB7"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2.1.1.1.1.01.03</w:t>
            </w:r>
          </w:p>
        </w:tc>
        <w:tc>
          <w:tcPr>
            <w:tcW w:w="4913" w:type="dxa"/>
          </w:tcPr>
          <w:p w:rsidR="000B5FB7" w:rsidRPr="00116D9A" w:rsidRDefault="000B5FB7"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Férias</w:t>
            </w:r>
          </w:p>
        </w:tc>
        <w:tc>
          <w:tcPr>
            <w:tcW w:w="1384" w:type="dxa"/>
          </w:tcPr>
          <w:p w:rsidR="000B5FB7" w:rsidRDefault="00222FAC"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844.291,12</w:t>
            </w:r>
          </w:p>
        </w:tc>
        <w:tc>
          <w:tcPr>
            <w:tcW w:w="1217" w:type="dxa"/>
          </w:tcPr>
          <w:p w:rsidR="000B5FB7" w:rsidRPr="00116D9A" w:rsidRDefault="000B5FB7"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761.246,16</w:t>
            </w:r>
          </w:p>
        </w:tc>
      </w:tr>
      <w:tr w:rsidR="00222FAC"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222FAC" w:rsidRPr="00116D9A" w:rsidRDefault="00222FAC" w:rsidP="00807064">
            <w:pPr>
              <w:autoSpaceDE w:val="0"/>
              <w:autoSpaceDN w:val="0"/>
              <w:adjustRightInd w:val="0"/>
              <w:jc w:val="both"/>
              <w:rPr>
                <w:rFonts w:ascii="Arial" w:hAnsi="Arial" w:cs="Arial"/>
                <w:b w:val="0"/>
                <w:sz w:val="20"/>
                <w:szCs w:val="20"/>
              </w:rPr>
            </w:pPr>
            <w:r>
              <w:rPr>
                <w:rFonts w:ascii="Arial" w:hAnsi="Arial" w:cs="Arial"/>
                <w:b w:val="0"/>
                <w:sz w:val="20"/>
                <w:szCs w:val="20"/>
              </w:rPr>
              <w:t>2.1.1.4.3.01.01</w:t>
            </w:r>
          </w:p>
        </w:tc>
        <w:tc>
          <w:tcPr>
            <w:tcW w:w="4913" w:type="dxa"/>
          </w:tcPr>
          <w:p w:rsidR="00222FAC" w:rsidRPr="00116D9A" w:rsidRDefault="00222FAC" w:rsidP="008070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INSS – Contribuição sobre salario e remunerações</w:t>
            </w:r>
          </w:p>
        </w:tc>
        <w:tc>
          <w:tcPr>
            <w:tcW w:w="1384" w:type="dxa"/>
          </w:tcPr>
          <w:p w:rsidR="00222FAC" w:rsidRDefault="00222FAC"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157.252,74</w:t>
            </w:r>
          </w:p>
        </w:tc>
        <w:tc>
          <w:tcPr>
            <w:tcW w:w="1217" w:type="dxa"/>
          </w:tcPr>
          <w:p w:rsidR="00222FAC" w:rsidRDefault="00222FAC"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222FAC"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222FAC" w:rsidRPr="00116D9A" w:rsidRDefault="00222FAC" w:rsidP="00807064">
            <w:pPr>
              <w:autoSpaceDE w:val="0"/>
              <w:autoSpaceDN w:val="0"/>
              <w:adjustRightInd w:val="0"/>
              <w:jc w:val="both"/>
              <w:rPr>
                <w:rFonts w:ascii="Arial" w:hAnsi="Arial" w:cs="Arial"/>
                <w:b w:val="0"/>
                <w:sz w:val="20"/>
                <w:szCs w:val="20"/>
              </w:rPr>
            </w:pPr>
            <w:r>
              <w:rPr>
                <w:rFonts w:ascii="Arial" w:hAnsi="Arial" w:cs="Arial"/>
                <w:b w:val="0"/>
                <w:sz w:val="20"/>
                <w:szCs w:val="20"/>
              </w:rPr>
              <w:t>2.1.2.1.4.02.01</w:t>
            </w:r>
          </w:p>
        </w:tc>
        <w:tc>
          <w:tcPr>
            <w:tcW w:w="4913" w:type="dxa"/>
          </w:tcPr>
          <w:p w:rsidR="00222FAC" w:rsidRPr="00116D9A" w:rsidRDefault="00222FAC"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Contratos de empréstimos internos</w:t>
            </w:r>
          </w:p>
        </w:tc>
        <w:tc>
          <w:tcPr>
            <w:tcW w:w="1384" w:type="dxa"/>
          </w:tcPr>
          <w:p w:rsidR="00222FAC" w:rsidRDefault="00222FAC"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90.000,00</w:t>
            </w:r>
          </w:p>
        </w:tc>
        <w:tc>
          <w:tcPr>
            <w:tcW w:w="1217" w:type="dxa"/>
          </w:tcPr>
          <w:p w:rsidR="00222FAC" w:rsidRDefault="00222FAC"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0B5FB7"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0B5FB7" w:rsidRPr="00116D9A" w:rsidRDefault="000B5FB7"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2.1.3.1.1.01.01</w:t>
            </w:r>
          </w:p>
        </w:tc>
        <w:tc>
          <w:tcPr>
            <w:tcW w:w="4913" w:type="dxa"/>
          </w:tcPr>
          <w:p w:rsidR="000B5FB7" w:rsidRPr="00116D9A" w:rsidRDefault="000B5FB7" w:rsidP="008070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Fornecedores não financiados a pagar</w:t>
            </w:r>
          </w:p>
        </w:tc>
        <w:tc>
          <w:tcPr>
            <w:tcW w:w="1384" w:type="dxa"/>
          </w:tcPr>
          <w:p w:rsidR="000B5FB7" w:rsidRDefault="00222FAC"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2.418,37</w:t>
            </w:r>
          </w:p>
        </w:tc>
        <w:tc>
          <w:tcPr>
            <w:tcW w:w="1217" w:type="dxa"/>
          </w:tcPr>
          <w:p w:rsidR="000B5FB7" w:rsidRPr="00116D9A" w:rsidRDefault="000B5FB7"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2.713,94</w:t>
            </w:r>
          </w:p>
        </w:tc>
      </w:tr>
      <w:tr w:rsidR="000B5FB7"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0B5FB7" w:rsidRPr="00116D9A" w:rsidRDefault="000B5FB7"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2.1.4.2.xx</w:t>
            </w:r>
          </w:p>
        </w:tc>
        <w:tc>
          <w:tcPr>
            <w:tcW w:w="4913" w:type="dxa"/>
          </w:tcPr>
          <w:p w:rsidR="000B5FB7" w:rsidRPr="00116D9A" w:rsidRDefault="000B5FB7"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Obrigações fiscais a curto prazo com o estado</w:t>
            </w:r>
          </w:p>
        </w:tc>
        <w:tc>
          <w:tcPr>
            <w:tcW w:w="1384" w:type="dxa"/>
          </w:tcPr>
          <w:p w:rsidR="00222FAC" w:rsidRDefault="00222FAC" w:rsidP="00222FA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12.360,17</w:t>
            </w:r>
          </w:p>
        </w:tc>
        <w:tc>
          <w:tcPr>
            <w:tcW w:w="1217" w:type="dxa"/>
          </w:tcPr>
          <w:p w:rsidR="000B5FB7" w:rsidRPr="00116D9A" w:rsidRDefault="000B5FB7"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6.873,39</w:t>
            </w:r>
          </w:p>
        </w:tc>
      </w:tr>
      <w:tr w:rsidR="000B5FB7"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0B5FB7" w:rsidRPr="00116D9A" w:rsidRDefault="000B5FB7" w:rsidP="00807064">
            <w:pPr>
              <w:autoSpaceDE w:val="0"/>
              <w:autoSpaceDN w:val="0"/>
              <w:adjustRightInd w:val="0"/>
              <w:jc w:val="both"/>
              <w:rPr>
                <w:rFonts w:ascii="Arial" w:hAnsi="Arial" w:cs="Arial"/>
                <w:b w:val="0"/>
                <w:sz w:val="20"/>
                <w:szCs w:val="20"/>
              </w:rPr>
            </w:pPr>
            <w:r w:rsidRPr="00116D9A">
              <w:rPr>
                <w:rFonts w:ascii="Arial" w:hAnsi="Arial" w:cs="Arial"/>
                <w:b w:val="0"/>
                <w:sz w:val="20"/>
                <w:szCs w:val="20"/>
              </w:rPr>
              <w:t>2.1.8.8.xx</w:t>
            </w:r>
          </w:p>
        </w:tc>
        <w:tc>
          <w:tcPr>
            <w:tcW w:w="4913" w:type="dxa"/>
          </w:tcPr>
          <w:p w:rsidR="000B5FB7" w:rsidRPr="00116D9A" w:rsidRDefault="000B5FB7" w:rsidP="008070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Valores restituíveis</w:t>
            </w:r>
          </w:p>
        </w:tc>
        <w:tc>
          <w:tcPr>
            <w:tcW w:w="1384" w:type="dxa"/>
          </w:tcPr>
          <w:p w:rsidR="000B5FB7" w:rsidRDefault="00222FAC" w:rsidP="00200E4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217" w:type="dxa"/>
          </w:tcPr>
          <w:p w:rsidR="000B5FB7" w:rsidRPr="00116D9A" w:rsidRDefault="000B5FB7" w:rsidP="00200E4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312,03</w:t>
            </w:r>
          </w:p>
        </w:tc>
      </w:tr>
      <w:tr w:rsidR="000B5FB7"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1" w:type="dxa"/>
            <w:gridSpan w:val="2"/>
          </w:tcPr>
          <w:p w:rsidR="000B5FB7" w:rsidRPr="00116D9A" w:rsidRDefault="000B5FB7" w:rsidP="0096613F">
            <w:pPr>
              <w:autoSpaceDE w:val="0"/>
              <w:autoSpaceDN w:val="0"/>
              <w:adjustRightInd w:val="0"/>
              <w:jc w:val="center"/>
              <w:rPr>
                <w:rFonts w:ascii="Arial" w:hAnsi="Arial" w:cs="Arial"/>
                <w:b w:val="0"/>
                <w:sz w:val="20"/>
                <w:szCs w:val="20"/>
              </w:rPr>
            </w:pPr>
            <w:r w:rsidRPr="00116D9A">
              <w:rPr>
                <w:rFonts w:ascii="Arial" w:hAnsi="Arial" w:cs="Arial"/>
                <w:sz w:val="20"/>
                <w:szCs w:val="20"/>
              </w:rPr>
              <w:t>Total</w:t>
            </w:r>
          </w:p>
        </w:tc>
        <w:tc>
          <w:tcPr>
            <w:tcW w:w="1384" w:type="dxa"/>
          </w:tcPr>
          <w:p w:rsidR="000B5FB7" w:rsidRDefault="00222FAC" w:rsidP="00222FA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22FAC">
              <w:rPr>
                <w:rFonts w:ascii="Arial" w:hAnsi="Arial" w:cs="Arial"/>
                <w:b/>
                <w:sz w:val="20"/>
                <w:szCs w:val="20"/>
              </w:rPr>
              <w:t xml:space="preserve">1.106.322,40 </w:t>
            </w:r>
          </w:p>
        </w:tc>
        <w:tc>
          <w:tcPr>
            <w:tcW w:w="1217" w:type="dxa"/>
          </w:tcPr>
          <w:p w:rsidR="000B5FB7" w:rsidRPr="00116D9A" w:rsidRDefault="000B5FB7" w:rsidP="00200E4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771.145,52</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5254A5" w:rsidRPr="00BA6198" w:rsidRDefault="005254A5" w:rsidP="005254A5">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 xml:space="preserve">O passivo de férias </w:t>
      </w:r>
      <w:r>
        <w:rPr>
          <w:rFonts w:ascii="Arial" w:hAnsi="Arial" w:cs="Arial"/>
          <w:sz w:val="24"/>
          <w:szCs w:val="24"/>
        </w:rPr>
        <w:t xml:space="preserve">e INSS </w:t>
      </w:r>
      <w:r w:rsidRPr="00BA6198">
        <w:rPr>
          <w:rFonts w:ascii="Arial" w:hAnsi="Arial" w:cs="Arial"/>
          <w:sz w:val="24"/>
          <w:szCs w:val="24"/>
        </w:rPr>
        <w:t xml:space="preserve">é reconhecido por competência, não passando pelos estágios orçamentários e financeiros até o momento. </w:t>
      </w:r>
    </w:p>
    <w:p w:rsidR="005254A5" w:rsidRPr="00BA6198" w:rsidRDefault="005254A5" w:rsidP="005254A5">
      <w:pPr>
        <w:autoSpaceDE w:val="0"/>
        <w:autoSpaceDN w:val="0"/>
        <w:adjustRightInd w:val="0"/>
        <w:spacing w:after="0" w:line="240" w:lineRule="auto"/>
        <w:jc w:val="both"/>
        <w:rPr>
          <w:rFonts w:ascii="Arial" w:hAnsi="Arial" w:cs="Arial"/>
          <w:sz w:val="24"/>
          <w:szCs w:val="24"/>
        </w:rPr>
      </w:pPr>
    </w:p>
    <w:p w:rsidR="005254A5"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contratação de serviços ou produtos, liquidados e não pagos.</w:t>
      </w:r>
    </w:p>
    <w:p w:rsidR="005254A5" w:rsidRDefault="005254A5" w:rsidP="005254A5">
      <w:pPr>
        <w:autoSpaceDE w:val="0"/>
        <w:autoSpaceDN w:val="0"/>
        <w:adjustRightInd w:val="0"/>
        <w:spacing w:after="0" w:line="240" w:lineRule="auto"/>
        <w:jc w:val="both"/>
        <w:rPr>
          <w:rFonts w:ascii="Arial" w:hAnsi="Arial" w:cs="Arial"/>
          <w:sz w:val="24"/>
          <w:szCs w:val="24"/>
        </w:rPr>
      </w:pPr>
    </w:p>
    <w:p w:rsidR="005254A5" w:rsidRPr="00BA6198"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obrigações fiscais a curto prazo</w:t>
      </w:r>
      <w:r w:rsidRPr="00BA6198">
        <w:rPr>
          <w:rFonts w:ascii="Arial" w:hAnsi="Arial" w:cs="Arial"/>
          <w:sz w:val="24"/>
          <w:szCs w:val="24"/>
        </w:rPr>
        <w:t xml:space="preserve"> referem-se ao PASEP a recolh</w:t>
      </w:r>
      <w:r>
        <w:rPr>
          <w:rFonts w:ascii="Arial" w:hAnsi="Arial" w:cs="Arial"/>
          <w:sz w:val="24"/>
          <w:szCs w:val="24"/>
        </w:rPr>
        <w:t>er, competência dezembro de 2019</w:t>
      </w:r>
      <w:r w:rsidRPr="00BA6198">
        <w:rPr>
          <w:rFonts w:ascii="Arial" w:hAnsi="Arial" w:cs="Arial"/>
          <w:sz w:val="24"/>
          <w:szCs w:val="24"/>
        </w:rPr>
        <w:t xml:space="preserve"> com vencimento em janeiro de 20</w:t>
      </w:r>
      <w:r>
        <w:rPr>
          <w:rFonts w:ascii="Arial" w:hAnsi="Arial" w:cs="Arial"/>
          <w:sz w:val="24"/>
          <w:szCs w:val="24"/>
        </w:rPr>
        <w:t>20</w:t>
      </w:r>
      <w:r w:rsidRPr="00BA6198">
        <w:rPr>
          <w:rFonts w:ascii="Arial" w:hAnsi="Arial" w:cs="Arial"/>
          <w:sz w:val="24"/>
          <w:szCs w:val="24"/>
        </w:rPr>
        <w:t>.</w:t>
      </w:r>
    </w:p>
    <w:p w:rsidR="005254A5" w:rsidRPr="00BA6198" w:rsidRDefault="005254A5" w:rsidP="005254A5">
      <w:pPr>
        <w:autoSpaceDE w:val="0"/>
        <w:autoSpaceDN w:val="0"/>
        <w:adjustRightInd w:val="0"/>
        <w:spacing w:after="0" w:line="240" w:lineRule="auto"/>
        <w:jc w:val="both"/>
        <w:rPr>
          <w:rFonts w:ascii="Arial" w:hAnsi="Arial" w:cs="Arial"/>
          <w:sz w:val="24"/>
          <w:szCs w:val="24"/>
        </w:rPr>
      </w:pPr>
    </w:p>
    <w:p w:rsidR="006E41ED" w:rsidRPr="00C17504" w:rsidRDefault="006E41ED" w:rsidP="006E41ED">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O Município possui passivo a curto e em longo prazo registrado referente a empréstimos contratados junto ao Estado, BADESC, conforme contrato nº 2018032001 que deverá ser quitado até setembro do ano de 2023. Taxa de Juros 5,50% (cinco vírgula cinquenta por cento).</w:t>
      </w:r>
    </w:p>
    <w:p w:rsidR="006E41ED" w:rsidRPr="00C17504" w:rsidRDefault="006E41ED" w:rsidP="006E41ED">
      <w:pPr>
        <w:autoSpaceDE w:val="0"/>
        <w:autoSpaceDN w:val="0"/>
        <w:adjustRightInd w:val="0"/>
        <w:spacing w:after="0" w:line="240" w:lineRule="auto"/>
        <w:jc w:val="both"/>
        <w:rPr>
          <w:rFonts w:ascii="Arial" w:hAnsi="Arial" w:cs="Arial"/>
          <w:sz w:val="24"/>
          <w:szCs w:val="24"/>
        </w:rPr>
      </w:pPr>
    </w:p>
    <w:p w:rsidR="006E41ED" w:rsidRPr="00C17504" w:rsidRDefault="006E41ED" w:rsidP="006E41ED">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O valor a longo prazo do contrato de empréstimo junto ao BADESC é de R$ 910.000,00 (novecentos e dez mil reais).</w:t>
      </w:r>
    </w:p>
    <w:p w:rsidR="005254A5" w:rsidRDefault="005254A5"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DIMINUTIVAS</w:t>
      </w:r>
    </w:p>
    <w:p w:rsidR="003A6484"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056926" w:rsidRPr="00116D9A" w:rsidRDefault="00056926"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C57CF"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Variações Patrimoniais Diminutivas</w:t>
      </w:r>
    </w:p>
    <w:p w:rsid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p w:rsid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p w:rsid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p w:rsidR="00F07C83" w:rsidRP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tbl>
      <w:tblPr>
        <w:tblStyle w:val="TabeladeGrade4-nfase51"/>
        <w:tblW w:w="9142" w:type="dxa"/>
        <w:tblLook w:val="04A0" w:firstRow="1" w:lastRow="0" w:firstColumn="1" w:lastColumn="0" w:noHBand="0" w:noVBand="1"/>
      </w:tblPr>
      <w:tblGrid>
        <w:gridCol w:w="916"/>
        <w:gridCol w:w="3624"/>
        <w:gridCol w:w="1496"/>
        <w:gridCol w:w="777"/>
        <w:gridCol w:w="1508"/>
        <w:gridCol w:w="821"/>
      </w:tblGrid>
      <w:tr w:rsidR="00222FAC" w:rsidRPr="0018406B" w:rsidTr="00357ED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271762">
            <w:pPr>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CONTA</w:t>
            </w:r>
          </w:p>
        </w:tc>
        <w:tc>
          <w:tcPr>
            <w:tcW w:w="3750" w:type="dxa"/>
            <w:hideMark/>
          </w:tcPr>
          <w:p w:rsidR="00222FAC" w:rsidRPr="00323AA4" w:rsidRDefault="00222FAC" w:rsidP="0027176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DESCRIÇÃO</w:t>
            </w:r>
          </w:p>
        </w:tc>
        <w:tc>
          <w:tcPr>
            <w:tcW w:w="1420" w:type="dxa"/>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2019</w:t>
            </w:r>
          </w:p>
        </w:tc>
        <w:tc>
          <w:tcPr>
            <w:tcW w:w="782" w:type="dxa"/>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c>
          <w:tcPr>
            <w:tcW w:w="1509" w:type="dxa"/>
            <w:hideMark/>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2018</w:t>
            </w:r>
          </w:p>
        </w:tc>
        <w:tc>
          <w:tcPr>
            <w:tcW w:w="829" w:type="dxa"/>
            <w:hideMark/>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3.1.1</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Remuneração a pessoal</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5.76</w:t>
            </w:r>
            <w:r w:rsidR="00DC3CA2" w:rsidRPr="00323AA4">
              <w:rPr>
                <w:rFonts w:ascii="Arial" w:eastAsia="Times New Roman" w:hAnsi="Arial" w:cs="Arial"/>
                <w:color w:val="000000"/>
                <w:sz w:val="20"/>
                <w:szCs w:val="20"/>
                <w:lang w:eastAsia="pt-BR"/>
              </w:rPr>
              <w:t>4.474,10</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25,22</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5.168.687,08</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29,45</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3.1.2</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Encargos patronais</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1.260.573,22</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5,52</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1.064.861,59</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6,07</w:t>
            </w:r>
          </w:p>
        </w:tc>
      </w:tr>
      <w:tr w:rsidR="00BA48E4"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tcPr>
          <w:p w:rsidR="00BA48E4" w:rsidRPr="00323AA4" w:rsidRDefault="00BA48E4" w:rsidP="0018406B">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3.2.1</w:t>
            </w:r>
          </w:p>
        </w:tc>
        <w:tc>
          <w:tcPr>
            <w:tcW w:w="3750" w:type="dxa"/>
          </w:tcPr>
          <w:p w:rsidR="00BA48E4" w:rsidRPr="00323AA4" w:rsidRDefault="00BA48E4"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Aposentadoria e reformas</w:t>
            </w:r>
          </w:p>
        </w:tc>
        <w:tc>
          <w:tcPr>
            <w:tcW w:w="1420" w:type="dxa"/>
          </w:tcPr>
          <w:p w:rsidR="00BA48E4"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15.367,15</w:t>
            </w:r>
          </w:p>
        </w:tc>
        <w:tc>
          <w:tcPr>
            <w:tcW w:w="782" w:type="dxa"/>
          </w:tcPr>
          <w:p w:rsidR="00BA48E4"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0,07</w:t>
            </w:r>
          </w:p>
        </w:tc>
        <w:tc>
          <w:tcPr>
            <w:tcW w:w="1509" w:type="dxa"/>
          </w:tcPr>
          <w:p w:rsidR="00BA48E4" w:rsidRPr="00323AA4" w:rsidRDefault="00542D28"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c>
          <w:tcPr>
            <w:tcW w:w="829" w:type="dxa"/>
          </w:tcPr>
          <w:p w:rsidR="00BA48E4" w:rsidRPr="00323AA4" w:rsidRDefault="00542D28"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3.2.4</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Benefícios Eventuais</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96.814,80</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0,42</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12.100,00</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0,07</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3.3.1</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Uso de material de consumo</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2.315.567,79</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10,13</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2.197.189,00</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12,52</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3.3.2</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Serviços</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3.478.006,69</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15,22</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3.017.532,09</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17,19</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3.3.3</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Depreciação</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559.251,79</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2,45</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593.070,13</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3,38</w:t>
            </w:r>
          </w:p>
        </w:tc>
      </w:tr>
      <w:tr w:rsidR="00DC3CA2"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tcPr>
          <w:p w:rsidR="00DC3CA2" w:rsidRPr="00323AA4" w:rsidRDefault="00DC3CA2" w:rsidP="0018406B">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3.4.1</w:t>
            </w:r>
          </w:p>
        </w:tc>
        <w:tc>
          <w:tcPr>
            <w:tcW w:w="3750" w:type="dxa"/>
          </w:tcPr>
          <w:p w:rsidR="00DC3CA2" w:rsidRPr="00323AA4" w:rsidRDefault="00C20B3D"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Juros e encargos de empréstimos e financiamentos obtidos</w:t>
            </w:r>
          </w:p>
        </w:tc>
        <w:tc>
          <w:tcPr>
            <w:tcW w:w="1420" w:type="dxa"/>
          </w:tcPr>
          <w:p w:rsidR="00DC3CA2" w:rsidRPr="00323AA4" w:rsidRDefault="00C20B3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3.115,37</w:t>
            </w:r>
          </w:p>
        </w:tc>
        <w:tc>
          <w:tcPr>
            <w:tcW w:w="782" w:type="dxa"/>
          </w:tcPr>
          <w:p w:rsidR="00DC3CA2"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0,01</w:t>
            </w:r>
          </w:p>
        </w:tc>
        <w:tc>
          <w:tcPr>
            <w:tcW w:w="1509" w:type="dxa"/>
          </w:tcPr>
          <w:p w:rsidR="00DC3CA2" w:rsidRPr="00323AA4" w:rsidRDefault="00542D28"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c>
          <w:tcPr>
            <w:tcW w:w="829" w:type="dxa"/>
          </w:tcPr>
          <w:p w:rsidR="00DC3CA2" w:rsidRPr="00323AA4" w:rsidRDefault="00542D28"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3.5.1</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intragovernamentais</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3.318.036,23</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14,52</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2.784.604,69</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15,86</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3.5.2</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 xml:space="preserve">Transferências </w:t>
            </w:r>
            <w:proofErr w:type="spellStart"/>
            <w:r w:rsidRPr="00323AA4">
              <w:rPr>
                <w:rFonts w:ascii="Arial" w:eastAsia="Times New Roman" w:hAnsi="Arial" w:cs="Arial"/>
                <w:color w:val="000000"/>
                <w:sz w:val="20"/>
                <w:szCs w:val="20"/>
                <w:lang w:eastAsia="pt-BR"/>
              </w:rPr>
              <w:t>inter</w:t>
            </w:r>
            <w:proofErr w:type="spellEnd"/>
            <w:r w:rsidRPr="00323AA4">
              <w:rPr>
                <w:rFonts w:ascii="Arial" w:eastAsia="Times New Roman" w:hAnsi="Arial" w:cs="Arial"/>
                <w:color w:val="000000"/>
                <w:sz w:val="20"/>
                <w:szCs w:val="20"/>
                <w:lang w:eastAsia="pt-BR"/>
              </w:rPr>
              <w:t xml:space="preserve"> governamentais</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2.407.195,51</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10,53</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2.201.055,48</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12,54</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3.5.3</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a instituições privadas</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117.524,73</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0,51</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103.824,66</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0,59</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3.5.5</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a consórcios públicos</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340.680,80</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1,49</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251.860,34</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1,43</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3.6.5</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Desincorporação de ativos</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2.964.790,63</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12,97</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127,93</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3.7.1</w:t>
            </w:r>
          </w:p>
        </w:tc>
        <w:tc>
          <w:tcPr>
            <w:tcW w:w="3750" w:type="dxa"/>
            <w:hideMark/>
          </w:tcPr>
          <w:p w:rsidR="00222FAC" w:rsidRPr="00323AA4" w:rsidRDefault="00222FAC"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Impostos, Taxas r Contribuições de Melhoria</w:t>
            </w:r>
          </w:p>
        </w:tc>
        <w:tc>
          <w:tcPr>
            <w:tcW w:w="1420" w:type="dxa"/>
          </w:tcPr>
          <w:p w:rsidR="00222FAC"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7.618,58</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0,03</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3.827,73</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0,02</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3.7.2</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Contribuições</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166.685,13</w:t>
            </w:r>
          </w:p>
        </w:tc>
        <w:tc>
          <w:tcPr>
            <w:tcW w:w="782" w:type="dxa"/>
          </w:tcPr>
          <w:p w:rsidR="00222FA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0,73</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137.679,65</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0,78</w:t>
            </w:r>
          </w:p>
        </w:tc>
      </w:tr>
      <w:tr w:rsidR="00BA48E4"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852" w:type="dxa"/>
          </w:tcPr>
          <w:p w:rsidR="00BA48E4" w:rsidRPr="00323AA4" w:rsidRDefault="00BA48E4" w:rsidP="0018406B">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3.9.1</w:t>
            </w:r>
          </w:p>
        </w:tc>
        <w:tc>
          <w:tcPr>
            <w:tcW w:w="3750" w:type="dxa"/>
          </w:tcPr>
          <w:p w:rsidR="00BA48E4" w:rsidRPr="00323AA4" w:rsidRDefault="00BA48E4" w:rsidP="001840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Premiações</w:t>
            </w:r>
          </w:p>
        </w:tc>
        <w:tc>
          <w:tcPr>
            <w:tcW w:w="1420" w:type="dxa"/>
          </w:tcPr>
          <w:p w:rsidR="00BA48E4" w:rsidRPr="00323AA4" w:rsidRDefault="00BA48E4"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9.983,00</w:t>
            </w:r>
          </w:p>
        </w:tc>
        <w:tc>
          <w:tcPr>
            <w:tcW w:w="782" w:type="dxa"/>
          </w:tcPr>
          <w:p w:rsidR="00BA48E4" w:rsidRPr="00323AA4" w:rsidRDefault="00357ED9"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0,04</w:t>
            </w:r>
          </w:p>
        </w:tc>
        <w:tc>
          <w:tcPr>
            <w:tcW w:w="1509" w:type="dxa"/>
          </w:tcPr>
          <w:p w:rsidR="00BA48E4" w:rsidRPr="00323AA4" w:rsidRDefault="00542D28"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c>
          <w:tcPr>
            <w:tcW w:w="829" w:type="dxa"/>
          </w:tcPr>
          <w:p w:rsidR="00BA48E4" w:rsidRPr="00323AA4" w:rsidRDefault="00542D28"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r>
      <w:tr w:rsidR="00222FAC" w:rsidRPr="0018406B"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2" w:type="dxa"/>
            <w:hideMark/>
          </w:tcPr>
          <w:p w:rsidR="00222FAC" w:rsidRPr="00323AA4" w:rsidRDefault="00222FAC" w:rsidP="0018406B">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3.9.9</w:t>
            </w:r>
          </w:p>
        </w:tc>
        <w:tc>
          <w:tcPr>
            <w:tcW w:w="3750" w:type="dxa"/>
            <w:hideMark/>
          </w:tcPr>
          <w:p w:rsidR="00222FAC" w:rsidRPr="00323AA4" w:rsidRDefault="00222FAC" w:rsidP="001840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Outras variações patrimoniais diminutivas</w:t>
            </w:r>
          </w:p>
        </w:tc>
        <w:tc>
          <w:tcPr>
            <w:tcW w:w="1420" w:type="dxa"/>
          </w:tcPr>
          <w:p w:rsidR="00222FAC" w:rsidRPr="00323AA4" w:rsidRDefault="00BA48E4"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27.149,60</w:t>
            </w:r>
          </w:p>
        </w:tc>
        <w:tc>
          <w:tcPr>
            <w:tcW w:w="782" w:type="dxa"/>
          </w:tcPr>
          <w:p w:rsidR="00222FAC" w:rsidRPr="00323AA4" w:rsidRDefault="00357ED9"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0,13</w:t>
            </w:r>
          </w:p>
        </w:tc>
        <w:tc>
          <w:tcPr>
            <w:tcW w:w="150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17.280,00</w:t>
            </w:r>
          </w:p>
        </w:tc>
        <w:tc>
          <w:tcPr>
            <w:tcW w:w="829" w:type="dxa"/>
            <w:hideMark/>
          </w:tcPr>
          <w:p w:rsidR="00222FAC" w:rsidRPr="00323AA4" w:rsidRDefault="00222FA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0,10</w:t>
            </w:r>
          </w:p>
        </w:tc>
      </w:tr>
      <w:tr w:rsidR="00222FAC" w:rsidRPr="0018406B" w:rsidTr="00357ED9">
        <w:trPr>
          <w:trHeight w:val="255"/>
        </w:trPr>
        <w:tc>
          <w:tcPr>
            <w:cnfStyle w:val="001000000000" w:firstRow="0" w:lastRow="0" w:firstColumn="1" w:lastColumn="0" w:oddVBand="0" w:evenVBand="0" w:oddHBand="0" w:evenHBand="0" w:firstRowFirstColumn="0" w:firstRowLastColumn="0" w:lastRowFirstColumn="0" w:lastRowLastColumn="0"/>
            <w:tcW w:w="4602" w:type="dxa"/>
            <w:gridSpan w:val="2"/>
            <w:hideMark/>
          </w:tcPr>
          <w:p w:rsidR="00222FAC" w:rsidRPr="00323AA4" w:rsidRDefault="00222FAC" w:rsidP="0018406B">
            <w:pPr>
              <w:jc w:val="both"/>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Total</w:t>
            </w:r>
          </w:p>
        </w:tc>
        <w:tc>
          <w:tcPr>
            <w:tcW w:w="1420" w:type="dxa"/>
          </w:tcPr>
          <w:p w:rsidR="00222FAC" w:rsidRPr="00323AA4" w:rsidRDefault="00400C73"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22.852.835,12</w:t>
            </w:r>
          </w:p>
        </w:tc>
        <w:tc>
          <w:tcPr>
            <w:tcW w:w="782" w:type="dxa"/>
          </w:tcPr>
          <w:p w:rsidR="00222FA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100</w:t>
            </w:r>
          </w:p>
        </w:tc>
        <w:tc>
          <w:tcPr>
            <w:tcW w:w="150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17.553.700,37</w:t>
            </w:r>
          </w:p>
        </w:tc>
        <w:tc>
          <w:tcPr>
            <w:tcW w:w="829"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pt-BR"/>
              </w:rPr>
            </w:pPr>
            <w:r w:rsidRPr="00323AA4">
              <w:rPr>
                <w:rFonts w:ascii="Arial" w:eastAsia="Times New Roman" w:hAnsi="Arial" w:cs="Arial"/>
                <w:b/>
                <w:color w:val="000000"/>
                <w:sz w:val="20"/>
                <w:szCs w:val="20"/>
                <w:lang w:eastAsia="pt-BR"/>
              </w:rPr>
              <w:t>100</w:t>
            </w:r>
          </w:p>
        </w:tc>
      </w:tr>
    </w:tbl>
    <w:p w:rsidR="008A3226" w:rsidRPr="00116D9A" w:rsidRDefault="008A3226" w:rsidP="0018406B">
      <w:pPr>
        <w:autoSpaceDE w:val="0"/>
        <w:autoSpaceDN w:val="0"/>
        <w:adjustRightInd w:val="0"/>
        <w:spacing w:after="0" w:line="240" w:lineRule="auto"/>
        <w:ind w:left="-426"/>
        <w:jc w:val="both"/>
        <w:rPr>
          <w:rFonts w:ascii="Arial" w:hAnsi="Arial" w:cs="Arial"/>
        </w:rPr>
      </w:pPr>
    </w:p>
    <w:p w:rsidR="008A3226" w:rsidRDefault="005254A5"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 2019, o</w:t>
      </w:r>
      <w:r w:rsidR="008A3226" w:rsidRPr="00116D9A">
        <w:rPr>
          <w:rFonts w:ascii="Arial" w:hAnsi="Arial" w:cs="Arial"/>
          <w:sz w:val="24"/>
          <w:szCs w:val="24"/>
        </w:rPr>
        <w:t xml:space="preserve"> gasto com pessoal representa </w:t>
      </w:r>
      <w:r w:rsidR="00357ED9">
        <w:rPr>
          <w:rFonts w:ascii="Arial" w:hAnsi="Arial" w:cs="Arial"/>
          <w:sz w:val="24"/>
          <w:szCs w:val="24"/>
        </w:rPr>
        <w:t>30,74</w:t>
      </w:r>
      <w:r w:rsidR="008A3226" w:rsidRPr="00116D9A">
        <w:rPr>
          <w:rFonts w:ascii="Arial" w:hAnsi="Arial" w:cs="Arial"/>
          <w:sz w:val="24"/>
          <w:szCs w:val="24"/>
        </w:rPr>
        <w:t xml:space="preserve">% das variações patrimoniais diminutivas, </w:t>
      </w:r>
      <w:r w:rsidR="00D31DA7" w:rsidRPr="00116D9A">
        <w:rPr>
          <w:rFonts w:ascii="Arial" w:hAnsi="Arial" w:cs="Arial"/>
          <w:sz w:val="24"/>
          <w:szCs w:val="24"/>
        </w:rPr>
        <w:t>referentes encargos</w:t>
      </w:r>
      <w:r w:rsidR="008A3226" w:rsidRPr="00116D9A">
        <w:rPr>
          <w:rFonts w:ascii="Arial" w:hAnsi="Arial" w:cs="Arial"/>
          <w:sz w:val="24"/>
          <w:szCs w:val="24"/>
        </w:rPr>
        <w:t xml:space="preserve"> patronais e remuneração de pessoal.</w:t>
      </w:r>
      <w:r w:rsidR="006E1D07" w:rsidRPr="00116D9A">
        <w:rPr>
          <w:rFonts w:ascii="Arial" w:hAnsi="Arial" w:cs="Arial"/>
          <w:sz w:val="24"/>
          <w:szCs w:val="24"/>
        </w:rPr>
        <w:t xml:space="preserve"> </w:t>
      </w:r>
      <w:r w:rsidR="00737254">
        <w:rPr>
          <w:rFonts w:ascii="Arial" w:hAnsi="Arial" w:cs="Arial"/>
          <w:sz w:val="24"/>
          <w:szCs w:val="24"/>
        </w:rPr>
        <w:t xml:space="preserve">Os serviços </w:t>
      </w:r>
      <w:r w:rsidR="006E1D07" w:rsidRPr="00116D9A">
        <w:rPr>
          <w:rFonts w:ascii="Arial" w:hAnsi="Arial" w:cs="Arial"/>
          <w:sz w:val="24"/>
          <w:szCs w:val="24"/>
        </w:rPr>
        <w:t xml:space="preserve">por sua vez representam </w:t>
      </w:r>
      <w:r w:rsidR="00AE4940">
        <w:rPr>
          <w:rFonts w:ascii="Arial" w:hAnsi="Arial" w:cs="Arial"/>
          <w:sz w:val="24"/>
          <w:szCs w:val="24"/>
        </w:rPr>
        <w:t>15,22</w:t>
      </w:r>
      <w:r w:rsidR="006E1D07" w:rsidRPr="00116D9A">
        <w:rPr>
          <w:rFonts w:ascii="Arial" w:hAnsi="Arial" w:cs="Arial"/>
          <w:sz w:val="24"/>
          <w:szCs w:val="24"/>
        </w:rPr>
        <w:t>% do total das variações diminutivas</w:t>
      </w:r>
      <w:r w:rsidR="00737254">
        <w:rPr>
          <w:rFonts w:ascii="Arial" w:hAnsi="Arial" w:cs="Arial"/>
          <w:sz w:val="24"/>
          <w:szCs w:val="24"/>
        </w:rPr>
        <w:t xml:space="preserve">, enquanto as transferências </w:t>
      </w:r>
      <w:proofErr w:type="spellStart"/>
      <w:r w:rsidR="00737254">
        <w:rPr>
          <w:rFonts w:ascii="Arial" w:hAnsi="Arial" w:cs="Arial"/>
          <w:sz w:val="24"/>
          <w:szCs w:val="24"/>
        </w:rPr>
        <w:t>intra</w:t>
      </w:r>
      <w:proofErr w:type="spellEnd"/>
      <w:r w:rsidR="00737254">
        <w:rPr>
          <w:rFonts w:ascii="Arial" w:hAnsi="Arial" w:cs="Arial"/>
          <w:sz w:val="24"/>
          <w:szCs w:val="24"/>
        </w:rPr>
        <w:t xml:space="preserve"> </w:t>
      </w:r>
      <w:r w:rsidR="00AE4940">
        <w:rPr>
          <w:rFonts w:ascii="Arial" w:hAnsi="Arial" w:cs="Arial"/>
          <w:sz w:val="24"/>
          <w:szCs w:val="24"/>
        </w:rPr>
        <w:t>14,52</w:t>
      </w:r>
      <w:r w:rsidR="00737254">
        <w:rPr>
          <w:rFonts w:ascii="Arial" w:hAnsi="Arial" w:cs="Arial"/>
          <w:sz w:val="24"/>
          <w:szCs w:val="24"/>
        </w:rPr>
        <w:t>%</w:t>
      </w:r>
      <w:r w:rsidR="00F51E08">
        <w:rPr>
          <w:rFonts w:ascii="Arial" w:hAnsi="Arial" w:cs="Arial"/>
          <w:sz w:val="24"/>
          <w:szCs w:val="24"/>
        </w:rPr>
        <w:t>.</w:t>
      </w:r>
    </w:p>
    <w:p w:rsidR="00F51E08" w:rsidRPr="00116D9A" w:rsidRDefault="00F51E08" w:rsidP="00807064">
      <w:pPr>
        <w:autoSpaceDE w:val="0"/>
        <w:autoSpaceDN w:val="0"/>
        <w:adjustRightInd w:val="0"/>
        <w:spacing w:after="0" w:line="240" w:lineRule="auto"/>
        <w:jc w:val="both"/>
        <w:rPr>
          <w:rFonts w:ascii="Arial" w:hAnsi="Arial" w:cs="Arial"/>
          <w:sz w:val="24"/>
          <w:szCs w:val="24"/>
        </w:rPr>
      </w:pPr>
    </w:p>
    <w:p w:rsidR="00F51E08" w:rsidRPr="003D27D6" w:rsidRDefault="00F51E08" w:rsidP="00F51E08">
      <w:pPr>
        <w:autoSpaceDE w:val="0"/>
        <w:autoSpaceDN w:val="0"/>
        <w:adjustRightInd w:val="0"/>
        <w:spacing w:after="0" w:line="240" w:lineRule="auto"/>
        <w:jc w:val="both"/>
        <w:rPr>
          <w:rFonts w:ascii="Arial" w:hAnsi="Arial" w:cs="Arial"/>
          <w:sz w:val="24"/>
          <w:szCs w:val="24"/>
        </w:rPr>
      </w:pPr>
      <w:r w:rsidRPr="003D27D6">
        <w:rPr>
          <w:rFonts w:ascii="Arial" w:hAnsi="Arial" w:cs="Arial"/>
          <w:sz w:val="24"/>
          <w:szCs w:val="24"/>
        </w:rPr>
        <w:t>Nota-</w:t>
      </w:r>
      <w:r w:rsidR="00F07C83">
        <w:rPr>
          <w:rFonts w:ascii="Arial" w:hAnsi="Arial" w:cs="Arial"/>
          <w:sz w:val="24"/>
          <w:szCs w:val="24"/>
        </w:rPr>
        <w:t>se</w:t>
      </w:r>
      <w:r w:rsidRPr="003D27D6">
        <w:rPr>
          <w:rFonts w:ascii="Arial" w:hAnsi="Arial" w:cs="Arial"/>
          <w:sz w:val="24"/>
          <w:szCs w:val="24"/>
        </w:rPr>
        <w:t xml:space="preserve"> que</w:t>
      </w:r>
      <w:r>
        <w:rPr>
          <w:rFonts w:ascii="Arial" w:hAnsi="Arial" w:cs="Arial"/>
          <w:sz w:val="24"/>
          <w:szCs w:val="24"/>
        </w:rPr>
        <w:t xml:space="preserve"> R$</w:t>
      </w:r>
      <w:r w:rsidRPr="003D27D6">
        <w:rPr>
          <w:rFonts w:ascii="Arial" w:hAnsi="Arial" w:cs="Arial"/>
          <w:sz w:val="24"/>
          <w:szCs w:val="24"/>
        </w:rPr>
        <w:t xml:space="preserve"> </w:t>
      </w:r>
      <w:r>
        <w:rPr>
          <w:rFonts w:ascii="Arial" w:hAnsi="Arial" w:cs="Arial"/>
          <w:sz w:val="24"/>
          <w:szCs w:val="24"/>
        </w:rPr>
        <w:t>2.964.790,63</w:t>
      </w:r>
      <w:r w:rsidRPr="003D27D6">
        <w:rPr>
          <w:rFonts w:ascii="Arial" w:hAnsi="Arial" w:cs="Arial"/>
          <w:sz w:val="24"/>
          <w:szCs w:val="24"/>
        </w:rPr>
        <w:t xml:space="preserve">, ou seja, </w:t>
      </w:r>
      <w:r>
        <w:rPr>
          <w:rFonts w:ascii="Arial" w:hAnsi="Arial" w:cs="Arial"/>
          <w:sz w:val="24"/>
          <w:szCs w:val="24"/>
        </w:rPr>
        <w:t>12,97</w:t>
      </w:r>
      <w:r w:rsidRPr="003D27D6">
        <w:rPr>
          <w:rFonts w:ascii="Arial" w:hAnsi="Arial" w:cs="Arial"/>
          <w:sz w:val="24"/>
          <w:szCs w:val="24"/>
        </w:rPr>
        <w:t xml:space="preserve">% das </w:t>
      </w:r>
      <w:proofErr w:type="spellStart"/>
      <w:r w:rsidRPr="003D27D6">
        <w:rPr>
          <w:rFonts w:ascii="Arial" w:hAnsi="Arial" w:cs="Arial"/>
          <w:sz w:val="24"/>
          <w:szCs w:val="24"/>
        </w:rPr>
        <w:t>VPDs</w:t>
      </w:r>
      <w:proofErr w:type="spellEnd"/>
      <w:r w:rsidRPr="003D27D6">
        <w:rPr>
          <w:rFonts w:ascii="Arial" w:hAnsi="Arial" w:cs="Arial"/>
          <w:sz w:val="24"/>
          <w:szCs w:val="24"/>
        </w:rPr>
        <w:t xml:space="preserve">, referem-se Reavaliação, redução a valor recuperável e ajuste para perdas. Destes R$ 15.175,70, ajustes da perda da dívida ativa e R$ </w:t>
      </w:r>
      <w:r w:rsidRPr="00F51E08">
        <w:rPr>
          <w:rFonts w:ascii="Arial" w:hAnsi="Arial" w:cs="Arial"/>
          <w:sz w:val="24"/>
          <w:szCs w:val="24"/>
        </w:rPr>
        <w:t>2.949.614,93</w:t>
      </w:r>
      <w:r w:rsidRPr="003D27D6">
        <w:rPr>
          <w:rFonts w:ascii="Arial" w:hAnsi="Arial" w:cs="Arial"/>
          <w:sz w:val="24"/>
          <w:szCs w:val="24"/>
        </w:rPr>
        <w:t>, a reavaliação do patrimônio. Esse resultado foi alcançado com base em levantamento físico e atualização contábil, realizado em 2019, onde os ativos foram avaliados a preço de mercado atual, a depreciação foi zerada e reiniciou a partir da data de corte, 01 de dezembro de 2019.</w:t>
      </w:r>
      <w:r>
        <w:rPr>
          <w:rFonts w:ascii="Arial" w:hAnsi="Arial" w:cs="Arial"/>
          <w:sz w:val="24"/>
          <w:szCs w:val="24"/>
        </w:rPr>
        <w:t xml:space="preserve"> Também houveram ganhos na reavaliação, apresentadas no grupo das variações patrimoniais aumentativas.</w:t>
      </w:r>
    </w:p>
    <w:p w:rsidR="00F51E08" w:rsidRPr="00116D9A" w:rsidRDefault="00F51E08" w:rsidP="00F51E08">
      <w:pPr>
        <w:autoSpaceDE w:val="0"/>
        <w:autoSpaceDN w:val="0"/>
        <w:adjustRightInd w:val="0"/>
        <w:spacing w:after="0" w:line="240" w:lineRule="auto"/>
        <w:jc w:val="both"/>
        <w:rPr>
          <w:rFonts w:ascii="Arial" w:hAnsi="Arial" w:cs="Arial"/>
          <w:sz w:val="24"/>
          <w:szCs w:val="24"/>
        </w:rPr>
      </w:pPr>
    </w:p>
    <w:p w:rsidR="005254A5" w:rsidRPr="00116D9A" w:rsidRDefault="005254A5" w:rsidP="005254A5">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As variações patrimoniais diminutivas</w:t>
      </w:r>
      <w:r>
        <w:rPr>
          <w:rFonts w:ascii="Arial" w:hAnsi="Arial" w:cs="Arial"/>
          <w:sz w:val="24"/>
          <w:szCs w:val="24"/>
        </w:rPr>
        <w:t xml:space="preserve"> aumentaram 30,18% de 2018 para 2019, e </w:t>
      </w:r>
      <w:r w:rsidRPr="00116D9A">
        <w:rPr>
          <w:rFonts w:ascii="Arial" w:hAnsi="Arial" w:cs="Arial"/>
          <w:sz w:val="24"/>
          <w:szCs w:val="24"/>
        </w:rPr>
        <w:t>representam o esforço do Município na prestação de serviços à população, bem como aquisição de produtos e execução de programas, buscando atender o objetivo da administração pública em melhorar a qualidade de vida das pessoas e garantir os serviços essenciais.</w:t>
      </w:r>
    </w:p>
    <w:p w:rsidR="006E1D07" w:rsidRPr="00116D9A" w:rsidRDefault="006E1D07" w:rsidP="00807064">
      <w:pPr>
        <w:autoSpaceDE w:val="0"/>
        <w:autoSpaceDN w:val="0"/>
        <w:adjustRightInd w:val="0"/>
        <w:spacing w:after="0" w:line="240" w:lineRule="auto"/>
        <w:jc w:val="both"/>
        <w:rPr>
          <w:rFonts w:ascii="Arial" w:hAnsi="Arial" w:cs="Arial"/>
          <w:sz w:val="24"/>
          <w:szCs w:val="24"/>
        </w:rPr>
      </w:pPr>
    </w:p>
    <w:p w:rsidR="006E1D07" w:rsidRPr="00116D9A" w:rsidRDefault="006E1D07"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AUMENTATIVAS</w:t>
      </w:r>
    </w:p>
    <w:p w:rsidR="0026351F" w:rsidRPr="00056926" w:rsidRDefault="0026351F" w:rsidP="00807064">
      <w:pPr>
        <w:autoSpaceDE w:val="0"/>
        <w:autoSpaceDN w:val="0"/>
        <w:adjustRightInd w:val="0"/>
        <w:spacing w:after="0" w:line="240" w:lineRule="auto"/>
        <w:jc w:val="both"/>
        <w:rPr>
          <w:rFonts w:ascii="Arial" w:hAnsi="Arial" w:cs="Arial"/>
          <w:sz w:val="24"/>
          <w:szCs w:val="24"/>
        </w:rPr>
      </w:pPr>
    </w:p>
    <w:p w:rsidR="001C57CF" w:rsidRPr="00F07C83" w:rsidRDefault="0093664A" w:rsidP="00F07C83">
      <w:pPr>
        <w:pStyle w:val="PargrafodaLista"/>
        <w:numPr>
          <w:ilvl w:val="0"/>
          <w:numId w:val="32"/>
        </w:numPr>
        <w:autoSpaceDE w:val="0"/>
        <w:autoSpaceDN w:val="0"/>
        <w:adjustRightInd w:val="0"/>
        <w:spacing w:after="0" w:line="240" w:lineRule="auto"/>
        <w:jc w:val="both"/>
        <w:rPr>
          <w:rFonts w:ascii="Arial" w:hAnsi="Arial" w:cs="Arial"/>
          <w:color w:val="215868" w:themeColor="accent5" w:themeShade="80"/>
          <w:sz w:val="24"/>
          <w:szCs w:val="24"/>
        </w:rPr>
      </w:pPr>
      <w:r w:rsidRPr="00F07C83">
        <w:rPr>
          <w:rFonts w:ascii="Arial" w:hAnsi="Arial" w:cs="Arial"/>
          <w:color w:val="215868" w:themeColor="accent5" w:themeShade="80"/>
          <w:sz w:val="24"/>
          <w:szCs w:val="24"/>
        </w:rPr>
        <w:t>Variações Patrimoniais Aumentativas</w:t>
      </w:r>
    </w:p>
    <w:p w:rsid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p w:rsid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p w:rsidR="00F07C83" w:rsidRPr="00F07C83" w:rsidRDefault="00F07C83" w:rsidP="00F07C83">
      <w:pPr>
        <w:autoSpaceDE w:val="0"/>
        <w:autoSpaceDN w:val="0"/>
        <w:adjustRightInd w:val="0"/>
        <w:spacing w:after="0" w:line="240" w:lineRule="auto"/>
        <w:jc w:val="both"/>
        <w:rPr>
          <w:rFonts w:ascii="Arial" w:hAnsi="Arial" w:cs="Arial"/>
          <w:color w:val="215868" w:themeColor="accent5" w:themeShade="80"/>
          <w:sz w:val="24"/>
          <w:szCs w:val="24"/>
        </w:rPr>
      </w:pPr>
    </w:p>
    <w:tbl>
      <w:tblPr>
        <w:tblStyle w:val="TabeladeGrade4-nfase51"/>
        <w:tblW w:w="9214" w:type="dxa"/>
        <w:tblLook w:val="04A0" w:firstRow="1" w:lastRow="0" w:firstColumn="1" w:lastColumn="0" w:noHBand="0" w:noVBand="1"/>
      </w:tblPr>
      <w:tblGrid>
        <w:gridCol w:w="916"/>
        <w:gridCol w:w="3816"/>
        <w:gridCol w:w="1496"/>
        <w:gridCol w:w="745"/>
        <w:gridCol w:w="1496"/>
        <w:gridCol w:w="745"/>
      </w:tblGrid>
      <w:tr w:rsidR="00A561EF" w:rsidRPr="00791982" w:rsidTr="00357ED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271762">
            <w:pPr>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lastRenderedPageBreak/>
              <w:t>CONTA</w:t>
            </w:r>
          </w:p>
        </w:tc>
        <w:tc>
          <w:tcPr>
            <w:tcW w:w="4280" w:type="dxa"/>
            <w:hideMark/>
          </w:tcPr>
          <w:p w:rsidR="00E043CC" w:rsidRPr="00323AA4" w:rsidRDefault="00E043CC" w:rsidP="0027176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DESCRIÇÃO</w:t>
            </w:r>
          </w:p>
        </w:tc>
        <w:tc>
          <w:tcPr>
            <w:tcW w:w="1420" w:type="dxa"/>
          </w:tcPr>
          <w:p w:rsidR="00E043CC" w:rsidRPr="00323AA4" w:rsidRDefault="00DE25F3"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2019</w:t>
            </w:r>
          </w:p>
        </w:tc>
        <w:tc>
          <w:tcPr>
            <w:tcW w:w="752" w:type="dxa"/>
          </w:tcPr>
          <w:p w:rsidR="00E043CC" w:rsidRPr="00323AA4" w:rsidRDefault="00DE25F3"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c>
          <w:tcPr>
            <w:tcW w:w="1443" w:type="dxa"/>
            <w:hideMark/>
          </w:tcPr>
          <w:p w:rsidR="00E043CC" w:rsidRPr="00323AA4" w:rsidRDefault="00DE25F3"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2018</w:t>
            </w:r>
          </w:p>
        </w:tc>
        <w:tc>
          <w:tcPr>
            <w:tcW w:w="752" w:type="dxa"/>
            <w:hideMark/>
          </w:tcPr>
          <w:p w:rsidR="00E043CC" w:rsidRPr="00323AA4" w:rsidRDefault="00E043C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4.1.1</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Impostos</w:t>
            </w:r>
          </w:p>
        </w:tc>
        <w:tc>
          <w:tcPr>
            <w:tcW w:w="1420" w:type="dxa"/>
          </w:tcPr>
          <w:p w:rsidR="00E043CC" w:rsidRPr="00323AA4" w:rsidRDefault="00DE25F3"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683.590,50</w:t>
            </w:r>
          </w:p>
        </w:tc>
        <w:tc>
          <w:tcPr>
            <w:tcW w:w="752" w:type="dxa"/>
          </w:tcPr>
          <w:p w:rsidR="00E043CC"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2,72</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417.683,21</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2,26</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4.1.2</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Taxas</w:t>
            </w:r>
          </w:p>
        </w:tc>
        <w:tc>
          <w:tcPr>
            <w:tcW w:w="1420" w:type="dxa"/>
          </w:tcPr>
          <w:p w:rsidR="00E043CC" w:rsidRPr="00323AA4" w:rsidRDefault="00DE25F3"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35.601,57</w:t>
            </w:r>
          </w:p>
        </w:tc>
        <w:tc>
          <w:tcPr>
            <w:tcW w:w="752" w:type="dxa"/>
          </w:tcPr>
          <w:p w:rsidR="00E043CC"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0,14</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99.817,28</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0,54</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4.1.3</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Contribuições de Melhoria</w:t>
            </w:r>
          </w:p>
        </w:tc>
        <w:tc>
          <w:tcPr>
            <w:tcW w:w="1420" w:type="dxa"/>
          </w:tcPr>
          <w:p w:rsidR="00E043CC"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c>
          <w:tcPr>
            <w:tcW w:w="752" w:type="dxa"/>
          </w:tcPr>
          <w:p w:rsidR="00E043CC"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37.800,01</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0,20</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4.2.2</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Contribuições de intervenção no domínio econômico</w:t>
            </w:r>
          </w:p>
        </w:tc>
        <w:tc>
          <w:tcPr>
            <w:tcW w:w="1420" w:type="dxa"/>
          </w:tcPr>
          <w:p w:rsidR="00E043CC" w:rsidRPr="00323AA4" w:rsidRDefault="00DE25F3"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3.691,83</w:t>
            </w:r>
          </w:p>
        </w:tc>
        <w:tc>
          <w:tcPr>
            <w:tcW w:w="752" w:type="dxa"/>
          </w:tcPr>
          <w:p w:rsidR="00E043CC"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0,01</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5.416,14</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0,03</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4.2.3</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Contribuição de Iluminação Pública</w:t>
            </w:r>
          </w:p>
        </w:tc>
        <w:tc>
          <w:tcPr>
            <w:tcW w:w="1420" w:type="dxa"/>
          </w:tcPr>
          <w:p w:rsidR="00E043CC" w:rsidRPr="00323AA4" w:rsidRDefault="00DE25F3"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68087,62</w:t>
            </w:r>
          </w:p>
        </w:tc>
        <w:tc>
          <w:tcPr>
            <w:tcW w:w="752" w:type="dxa"/>
          </w:tcPr>
          <w:p w:rsidR="00E043CC"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0,27</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59.823,73</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0,32</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4.3.3</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Exploração de bens e direitos e prestação</w:t>
            </w:r>
          </w:p>
        </w:tc>
        <w:tc>
          <w:tcPr>
            <w:tcW w:w="1420" w:type="dxa"/>
          </w:tcPr>
          <w:p w:rsidR="00E043CC" w:rsidRPr="00323AA4" w:rsidRDefault="00202977"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109.009,21</w:t>
            </w:r>
          </w:p>
        </w:tc>
        <w:tc>
          <w:tcPr>
            <w:tcW w:w="752" w:type="dxa"/>
          </w:tcPr>
          <w:p w:rsidR="00E043CC"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0,43</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133.853,21</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0,72</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4.4.2</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Juros e encargos de mora</w:t>
            </w:r>
          </w:p>
        </w:tc>
        <w:tc>
          <w:tcPr>
            <w:tcW w:w="1420" w:type="dxa"/>
          </w:tcPr>
          <w:p w:rsidR="00E043CC" w:rsidRPr="00323AA4" w:rsidRDefault="00202977"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4.041,56</w:t>
            </w:r>
          </w:p>
        </w:tc>
        <w:tc>
          <w:tcPr>
            <w:tcW w:w="752" w:type="dxa"/>
          </w:tcPr>
          <w:p w:rsidR="00E043CC"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0,02</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1.359,18</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0,01</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4.4.5</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Remuneração de depósitos bancários e aplicações financeiras</w:t>
            </w:r>
          </w:p>
        </w:tc>
        <w:tc>
          <w:tcPr>
            <w:tcW w:w="1420" w:type="dxa"/>
          </w:tcPr>
          <w:p w:rsidR="00E043CC" w:rsidRPr="00323AA4" w:rsidRDefault="00202977"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54.826,06</w:t>
            </w:r>
          </w:p>
        </w:tc>
        <w:tc>
          <w:tcPr>
            <w:tcW w:w="752" w:type="dxa"/>
          </w:tcPr>
          <w:p w:rsidR="00E043CC"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0,22</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63.463,69</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0,34</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tcPr>
          <w:p w:rsidR="00202977" w:rsidRPr="00323AA4" w:rsidRDefault="00202977" w:rsidP="00791982">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4.4.9</w:t>
            </w:r>
          </w:p>
        </w:tc>
        <w:tc>
          <w:tcPr>
            <w:tcW w:w="4280" w:type="dxa"/>
          </w:tcPr>
          <w:p w:rsidR="00202977" w:rsidRPr="00323AA4" w:rsidRDefault="00202977"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Outras variações patrimoniais aumentativas</w:t>
            </w:r>
          </w:p>
        </w:tc>
        <w:tc>
          <w:tcPr>
            <w:tcW w:w="1420" w:type="dxa"/>
          </w:tcPr>
          <w:p w:rsidR="00202977" w:rsidRPr="00323AA4" w:rsidRDefault="00202977"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0,04</w:t>
            </w:r>
          </w:p>
        </w:tc>
        <w:tc>
          <w:tcPr>
            <w:tcW w:w="752" w:type="dxa"/>
          </w:tcPr>
          <w:p w:rsidR="00202977"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1443" w:type="dxa"/>
          </w:tcPr>
          <w:p w:rsidR="00202977"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752" w:type="dxa"/>
          </w:tcPr>
          <w:p w:rsidR="00202977"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4.5.1</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intragovernamentais</w:t>
            </w:r>
          </w:p>
        </w:tc>
        <w:tc>
          <w:tcPr>
            <w:tcW w:w="1420" w:type="dxa"/>
          </w:tcPr>
          <w:p w:rsidR="00E043CC" w:rsidRPr="00323AA4" w:rsidRDefault="00202977"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3.318.036,23</w:t>
            </w:r>
          </w:p>
        </w:tc>
        <w:tc>
          <w:tcPr>
            <w:tcW w:w="752" w:type="dxa"/>
          </w:tcPr>
          <w:p w:rsidR="00E043CC"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13,20</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2.784.604,69</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15,03</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4.5.2</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 xml:space="preserve">Transferências intergovernamentais </w:t>
            </w:r>
          </w:p>
        </w:tc>
        <w:tc>
          <w:tcPr>
            <w:tcW w:w="1420" w:type="dxa"/>
          </w:tcPr>
          <w:p w:rsidR="00E043CC" w:rsidRPr="00323AA4" w:rsidRDefault="00202977"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15.736.558,01</w:t>
            </w:r>
          </w:p>
        </w:tc>
        <w:tc>
          <w:tcPr>
            <w:tcW w:w="752" w:type="dxa"/>
          </w:tcPr>
          <w:p w:rsidR="00E043CC"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62,61</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14.247.203,35</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76,92</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4.6.1</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Reavaliação de ativos</w:t>
            </w:r>
          </w:p>
        </w:tc>
        <w:tc>
          <w:tcPr>
            <w:tcW w:w="1420" w:type="dxa"/>
          </w:tcPr>
          <w:p w:rsidR="00E043CC" w:rsidRPr="00323AA4" w:rsidRDefault="00202977"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3.825.660,65</w:t>
            </w:r>
          </w:p>
        </w:tc>
        <w:tc>
          <w:tcPr>
            <w:tcW w:w="752" w:type="dxa"/>
          </w:tcPr>
          <w:p w:rsidR="00E043CC"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15,22</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257,62</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0,00</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tcPr>
          <w:p w:rsidR="00C4080D" w:rsidRPr="00323AA4" w:rsidRDefault="00C4080D" w:rsidP="00791982">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4.6.2</w:t>
            </w:r>
          </w:p>
        </w:tc>
        <w:tc>
          <w:tcPr>
            <w:tcW w:w="4280" w:type="dxa"/>
          </w:tcPr>
          <w:p w:rsidR="00C4080D" w:rsidRPr="00323AA4" w:rsidRDefault="00C4080D"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Ganhos com alienação</w:t>
            </w:r>
          </w:p>
        </w:tc>
        <w:tc>
          <w:tcPr>
            <w:tcW w:w="1420"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79.400,00</w:t>
            </w:r>
          </w:p>
        </w:tc>
        <w:tc>
          <w:tcPr>
            <w:tcW w:w="752" w:type="dxa"/>
          </w:tcPr>
          <w:p w:rsidR="00C4080D"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0,32</w:t>
            </w:r>
          </w:p>
        </w:tc>
        <w:tc>
          <w:tcPr>
            <w:tcW w:w="1443"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p>
        </w:tc>
        <w:tc>
          <w:tcPr>
            <w:tcW w:w="752"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4.6.3</w:t>
            </w:r>
          </w:p>
        </w:tc>
        <w:tc>
          <w:tcPr>
            <w:tcW w:w="4280" w:type="dxa"/>
            <w:hideMark/>
          </w:tcPr>
          <w:p w:rsidR="00E043CC" w:rsidRPr="00323AA4" w:rsidRDefault="00E043CC"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Outros ganhos com incorporações de ativos</w:t>
            </w:r>
          </w:p>
        </w:tc>
        <w:tc>
          <w:tcPr>
            <w:tcW w:w="1420" w:type="dxa"/>
          </w:tcPr>
          <w:p w:rsidR="00E043CC"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752" w:type="dxa"/>
          </w:tcPr>
          <w:p w:rsidR="00E043CC"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1443"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861,89</w:t>
            </w:r>
          </w:p>
        </w:tc>
        <w:tc>
          <w:tcPr>
            <w:tcW w:w="752" w:type="dxa"/>
            <w:hideMark/>
          </w:tcPr>
          <w:p w:rsidR="00E043CC" w:rsidRPr="00323AA4" w:rsidRDefault="00E043C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0,00</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tcPr>
          <w:p w:rsidR="00C4080D" w:rsidRPr="00323AA4" w:rsidRDefault="00C4080D" w:rsidP="00791982">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4.6.4</w:t>
            </w:r>
          </w:p>
        </w:tc>
        <w:tc>
          <w:tcPr>
            <w:tcW w:w="4280" w:type="dxa"/>
          </w:tcPr>
          <w:p w:rsidR="00C4080D" w:rsidRPr="00323AA4" w:rsidRDefault="00C4080D"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Ganhos com desincorporação de passivos</w:t>
            </w:r>
          </w:p>
        </w:tc>
        <w:tc>
          <w:tcPr>
            <w:tcW w:w="1420"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125,00</w:t>
            </w:r>
          </w:p>
        </w:tc>
        <w:tc>
          <w:tcPr>
            <w:tcW w:w="752" w:type="dxa"/>
          </w:tcPr>
          <w:p w:rsidR="00C4080D"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1443"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752" w:type="dxa"/>
          </w:tcPr>
          <w:p w:rsidR="00C4080D"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567" w:type="dxa"/>
          </w:tcPr>
          <w:p w:rsidR="00C4080D" w:rsidRPr="00323AA4" w:rsidRDefault="00C4080D" w:rsidP="00791982">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4.9.7</w:t>
            </w:r>
          </w:p>
        </w:tc>
        <w:tc>
          <w:tcPr>
            <w:tcW w:w="4280" w:type="dxa"/>
          </w:tcPr>
          <w:p w:rsidR="00C4080D" w:rsidRPr="00323AA4" w:rsidRDefault="00C4080D" w:rsidP="0079198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Reversão de provisões e ajustes de perdas</w:t>
            </w:r>
          </w:p>
        </w:tc>
        <w:tc>
          <w:tcPr>
            <w:tcW w:w="1420" w:type="dxa"/>
          </w:tcPr>
          <w:p w:rsidR="00C4080D"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1.560,98</w:t>
            </w:r>
          </w:p>
        </w:tc>
        <w:tc>
          <w:tcPr>
            <w:tcW w:w="752" w:type="dxa"/>
          </w:tcPr>
          <w:p w:rsidR="00C4080D" w:rsidRPr="00323AA4" w:rsidRDefault="00A561EF"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0,01</w:t>
            </w:r>
          </w:p>
        </w:tc>
        <w:tc>
          <w:tcPr>
            <w:tcW w:w="1443" w:type="dxa"/>
          </w:tcPr>
          <w:p w:rsidR="00C4080D"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c>
          <w:tcPr>
            <w:tcW w:w="752" w:type="dxa"/>
          </w:tcPr>
          <w:p w:rsidR="00C4080D" w:rsidRPr="00323AA4" w:rsidRDefault="00C4080D"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r>
      <w:tr w:rsidR="00A561EF" w:rsidRPr="00791982" w:rsidTr="00357ED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67" w:type="dxa"/>
            <w:hideMark/>
          </w:tcPr>
          <w:p w:rsidR="00E043CC" w:rsidRPr="00323AA4" w:rsidRDefault="00E043CC" w:rsidP="00791982">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4.9.9</w:t>
            </w:r>
          </w:p>
        </w:tc>
        <w:tc>
          <w:tcPr>
            <w:tcW w:w="4280" w:type="dxa"/>
            <w:hideMark/>
          </w:tcPr>
          <w:p w:rsidR="00E043CC" w:rsidRPr="00323AA4" w:rsidRDefault="00E043CC" w:rsidP="0079198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Diversas variações patrimoniais aumentativas</w:t>
            </w:r>
          </w:p>
        </w:tc>
        <w:tc>
          <w:tcPr>
            <w:tcW w:w="1420" w:type="dxa"/>
          </w:tcPr>
          <w:p w:rsidR="00E043CC" w:rsidRPr="00323AA4" w:rsidRDefault="00C4080D"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1.214.233,29</w:t>
            </w:r>
          </w:p>
        </w:tc>
        <w:tc>
          <w:tcPr>
            <w:tcW w:w="752" w:type="dxa"/>
          </w:tcPr>
          <w:p w:rsidR="00E043CC" w:rsidRPr="00323AA4" w:rsidRDefault="00A561EF"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4,83</w:t>
            </w:r>
          </w:p>
        </w:tc>
        <w:tc>
          <w:tcPr>
            <w:tcW w:w="1443"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670.304,29</w:t>
            </w:r>
          </w:p>
        </w:tc>
        <w:tc>
          <w:tcPr>
            <w:tcW w:w="752" w:type="dxa"/>
            <w:hideMark/>
          </w:tcPr>
          <w:p w:rsidR="00E043CC" w:rsidRPr="00323AA4" w:rsidRDefault="00E043CC" w:rsidP="00323A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bCs/>
                <w:color w:val="000000"/>
                <w:sz w:val="20"/>
                <w:szCs w:val="20"/>
                <w:lang w:eastAsia="pt-BR"/>
              </w:rPr>
              <w:t>3,62</w:t>
            </w:r>
          </w:p>
        </w:tc>
      </w:tr>
      <w:tr w:rsidR="00A561EF" w:rsidRPr="00791982" w:rsidTr="00357ED9">
        <w:trPr>
          <w:trHeight w:val="255"/>
        </w:trPr>
        <w:tc>
          <w:tcPr>
            <w:cnfStyle w:val="001000000000" w:firstRow="0" w:lastRow="0" w:firstColumn="1" w:lastColumn="0" w:oddVBand="0" w:evenVBand="0" w:oddHBand="0" w:evenHBand="0" w:firstRowFirstColumn="0" w:firstRowLastColumn="0" w:lastRowFirstColumn="0" w:lastRowLastColumn="0"/>
            <w:tcW w:w="4847" w:type="dxa"/>
            <w:gridSpan w:val="2"/>
            <w:hideMark/>
          </w:tcPr>
          <w:p w:rsidR="00E043CC" w:rsidRPr="00323AA4" w:rsidRDefault="00E043CC" w:rsidP="00791982">
            <w:pPr>
              <w:jc w:val="both"/>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Total</w:t>
            </w:r>
          </w:p>
        </w:tc>
        <w:tc>
          <w:tcPr>
            <w:tcW w:w="1420" w:type="dxa"/>
          </w:tcPr>
          <w:p w:rsidR="00E043CC" w:rsidRPr="00323AA4" w:rsidRDefault="00C4080D" w:rsidP="00542D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25.134.422,55</w:t>
            </w:r>
          </w:p>
        </w:tc>
        <w:tc>
          <w:tcPr>
            <w:tcW w:w="752" w:type="dxa"/>
          </w:tcPr>
          <w:p w:rsidR="00E043CC" w:rsidRPr="00323AA4" w:rsidRDefault="00A561EF" w:rsidP="002717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100</w:t>
            </w:r>
          </w:p>
        </w:tc>
        <w:tc>
          <w:tcPr>
            <w:tcW w:w="1443" w:type="dxa"/>
            <w:hideMark/>
          </w:tcPr>
          <w:p w:rsidR="00E043CC" w:rsidRPr="00323AA4" w:rsidRDefault="00E043CC" w:rsidP="00542D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18.522.448,29</w:t>
            </w:r>
          </w:p>
        </w:tc>
        <w:tc>
          <w:tcPr>
            <w:tcW w:w="752" w:type="dxa"/>
            <w:hideMark/>
          </w:tcPr>
          <w:p w:rsidR="00E043CC" w:rsidRPr="00323AA4" w:rsidRDefault="00E043CC" w:rsidP="0027176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360761" w:rsidRDefault="008A3226" w:rsidP="00360761">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Nota</w:t>
      </w:r>
      <w:r w:rsidR="00360761">
        <w:rPr>
          <w:rFonts w:ascii="Arial" w:hAnsi="Arial" w:cs="Arial"/>
          <w:sz w:val="24"/>
          <w:szCs w:val="24"/>
        </w:rPr>
        <w:t>-se que as transferências inter</w:t>
      </w:r>
      <w:r w:rsidRPr="00116D9A">
        <w:rPr>
          <w:rFonts w:ascii="Arial" w:hAnsi="Arial" w:cs="Arial"/>
          <w:sz w:val="24"/>
          <w:szCs w:val="24"/>
        </w:rPr>
        <w:t>governamentais representam o maior va</w:t>
      </w:r>
      <w:r w:rsidR="009855D2" w:rsidRPr="00116D9A">
        <w:rPr>
          <w:rFonts w:ascii="Arial" w:hAnsi="Arial" w:cs="Arial"/>
          <w:sz w:val="24"/>
          <w:szCs w:val="24"/>
        </w:rPr>
        <w:t>lor entre</w:t>
      </w:r>
      <w:r w:rsidRPr="00116D9A">
        <w:rPr>
          <w:rFonts w:ascii="Arial" w:hAnsi="Arial" w:cs="Arial"/>
          <w:sz w:val="24"/>
          <w:szCs w:val="24"/>
        </w:rPr>
        <w:t xml:space="preserve"> as </w:t>
      </w:r>
      <w:proofErr w:type="spellStart"/>
      <w:r w:rsidRPr="00116D9A">
        <w:rPr>
          <w:rFonts w:ascii="Arial" w:hAnsi="Arial" w:cs="Arial"/>
          <w:sz w:val="24"/>
          <w:szCs w:val="24"/>
        </w:rPr>
        <w:t>VPAs</w:t>
      </w:r>
      <w:proofErr w:type="spellEnd"/>
      <w:r w:rsidR="009855D2" w:rsidRPr="00116D9A">
        <w:rPr>
          <w:rFonts w:ascii="Arial" w:hAnsi="Arial" w:cs="Arial"/>
          <w:sz w:val="24"/>
          <w:szCs w:val="24"/>
        </w:rPr>
        <w:t>, representando</w:t>
      </w:r>
      <w:r w:rsidRPr="00116D9A">
        <w:rPr>
          <w:rFonts w:ascii="Arial" w:hAnsi="Arial" w:cs="Arial"/>
          <w:sz w:val="24"/>
          <w:szCs w:val="24"/>
        </w:rPr>
        <w:t xml:space="preserve"> </w:t>
      </w:r>
      <w:r w:rsidR="00D416BF">
        <w:rPr>
          <w:rFonts w:ascii="Arial" w:hAnsi="Arial" w:cs="Arial"/>
          <w:sz w:val="24"/>
          <w:szCs w:val="24"/>
        </w:rPr>
        <w:t>62,61</w:t>
      </w:r>
      <w:r w:rsidR="00360761">
        <w:rPr>
          <w:rFonts w:ascii="Arial" w:hAnsi="Arial" w:cs="Arial"/>
          <w:sz w:val="24"/>
          <w:szCs w:val="24"/>
        </w:rPr>
        <w:t>%</w:t>
      </w:r>
      <w:r w:rsidR="00360761" w:rsidRPr="005C71BC">
        <w:rPr>
          <w:rFonts w:ascii="Arial" w:hAnsi="Arial" w:cs="Arial"/>
          <w:sz w:val="24"/>
          <w:szCs w:val="24"/>
        </w:rPr>
        <w:t xml:space="preserve">, o que </w:t>
      </w:r>
      <w:r w:rsidR="00360761">
        <w:rPr>
          <w:rFonts w:ascii="Arial" w:hAnsi="Arial" w:cs="Arial"/>
          <w:sz w:val="24"/>
          <w:szCs w:val="24"/>
        </w:rPr>
        <w:t>demonstra</w:t>
      </w:r>
      <w:r w:rsidR="00360761" w:rsidRPr="005C71BC">
        <w:rPr>
          <w:rFonts w:ascii="Arial" w:hAnsi="Arial" w:cs="Arial"/>
          <w:sz w:val="24"/>
          <w:szCs w:val="24"/>
        </w:rPr>
        <w:t xml:space="preserve"> a entidade</w:t>
      </w:r>
      <w:r w:rsidR="00360761">
        <w:rPr>
          <w:rFonts w:ascii="Arial" w:hAnsi="Arial" w:cs="Arial"/>
          <w:sz w:val="24"/>
          <w:szCs w:val="24"/>
        </w:rPr>
        <w:t xml:space="preserve"> é</w:t>
      </w:r>
      <w:r w:rsidR="00360761" w:rsidRPr="005C71BC">
        <w:rPr>
          <w:rFonts w:ascii="Arial" w:hAnsi="Arial" w:cs="Arial"/>
          <w:sz w:val="24"/>
          <w:szCs w:val="24"/>
        </w:rPr>
        <w:t xml:space="preserve"> </w:t>
      </w:r>
      <w:r w:rsidR="00360761">
        <w:rPr>
          <w:rFonts w:ascii="Arial" w:hAnsi="Arial" w:cs="Arial"/>
          <w:sz w:val="24"/>
          <w:szCs w:val="24"/>
        </w:rPr>
        <w:t>dependente</w:t>
      </w:r>
      <w:r w:rsidR="00360761" w:rsidRPr="005C71BC">
        <w:rPr>
          <w:rFonts w:ascii="Arial" w:hAnsi="Arial" w:cs="Arial"/>
          <w:sz w:val="24"/>
          <w:szCs w:val="24"/>
        </w:rPr>
        <w:t xml:space="preserve"> do Governo Estadual e Federal.</w:t>
      </w:r>
    </w:p>
    <w:p w:rsidR="009138FF" w:rsidRDefault="009138FF"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F51E08" w:rsidRDefault="00F51E08" w:rsidP="00F51E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reavaliação positiva de ativos apresentou um montante de R$ 3.825.660,65, em 31 de dezembro de 2019, o que representa 15,22% das variações patrimoniais. Se deve a atualização física e contábil do patrimônio, realizada em 2019, para que os bens 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A data de corte foi 01 de dezembro de 2019.</w:t>
      </w:r>
    </w:p>
    <w:p w:rsidR="005254A5" w:rsidRDefault="005254A5" w:rsidP="005254A5">
      <w:pPr>
        <w:autoSpaceDE w:val="0"/>
        <w:autoSpaceDN w:val="0"/>
        <w:adjustRightInd w:val="0"/>
        <w:spacing w:after="0" w:line="240" w:lineRule="auto"/>
        <w:jc w:val="both"/>
        <w:rPr>
          <w:rFonts w:ascii="Arial" w:hAnsi="Arial" w:cs="Arial"/>
          <w:sz w:val="24"/>
          <w:szCs w:val="24"/>
        </w:rPr>
      </w:pPr>
    </w:p>
    <w:p w:rsidR="005254A5"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VPAs</w:t>
      </w:r>
      <w:proofErr w:type="spellEnd"/>
      <w:r>
        <w:rPr>
          <w:rFonts w:ascii="Arial" w:hAnsi="Arial" w:cs="Arial"/>
          <w:sz w:val="24"/>
          <w:szCs w:val="24"/>
        </w:rPr>
        <w:t xml:space="preserve"> aumentaram 37,69% de 2018 e 2019, e c</w:t>
      </w:r>
      <w:r w:rsidRPr="00030A52">
        <w:rPr>
          <w:rFonts w:ascii="Arial" w:hAnsi="Arial" w:cs="Arial"/>
          <w:sz w:val="24"/>
          <w:szCs w:val="24"/>
        </w:rPr>
        <w:t>ompreende o aumento no benefício econômico durante o período contábil sob a forma de entrada de recurso ou aumento de ativo ou diminuição de passivo, que resulte em aumento do patrimônio líquido</w:t>
      </w:r>
      <w:r>
        <w:rPr>
          <w:rFonts w:ascii="Arial" w:hAnsi="Arial" w:cs="Arial"/>
          <w:sz w:val="24"/>
          <w:szCs w:val="24"/>
        </w:rPr>
        <w:t>.</w:t>
      </w:r>
    </w:p>
    <w:p w:rsidR="005254A5" w:rsidRPr="00116D9A" w:rsidRDefault="005254A5"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93664A" w:rsidRDefault="0093664A"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CB2342" w:rsidRPr="00116D9A" w:rsidRDefault="00CB2342"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4 OUTRAS INFORMAÇÕES RELEVANTES</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rPr>
      </w:pPr>
      <w:r w:rsidRPr="00116D9A">
        <w:rPr>
          <w:rFonts w:ascii="Arial" w:hAnsi="Arial" w:cs="Arial"/>
          <w:b/>
          <w:bCs/>
          <w:color w:val="215868" w:themeColor="accent5" w:themeShade="80"/>
          <w:sz w:val="24"/>
          <w:szCs w:val="24"/>
        </w:rPr>
        <w:t>4.1 Passivos contingentes e compromissos contratuais não reconhecidos</w:t>
      </w:r>
    </w:p>
    <w:p w:rsidR="00956490" w:rsidRPr="00030A52" w:rsidRDefault="00956490" w:rsidP="00956490">
      <w:pPr>
        <w:autoSpaceDE w:val="0"/>
        <w:autoSpaceDN w:val="0"/>
        <w:adjustRightInd w:val="0"/>
        <w:spacing w:after="0" w:line="240" w:lineRule="auto"/>
        <w:jc w:val="both"/>
        <w:rPr>
          <w:rFonts w:ascii="Arial" w:hAnsi="Arial" w:cs="Arial"/>
          <w:bCs/>
          <w:sz w:val="24"/>
          <w:szCs w:val="24"/>
        </w:rPr>
      </w:pPr>
      <w:r w:rsidRPr="00030A52">
        <w:rPr>
          <w:rFonts w:ascii="Arial" w:hAnsi="Arial" w:cs="Arial"/>
          <w:bCs/>
          <w:sz w:val="24"/>
          <w:szCs w:val="24"/>
        </w:rPr>
        <w:t xml:space="preserve">O município não possui compromissos contratuais não reconhecidos. </w:t>
      </w:r>
    </w:p>
    <w:p w:rsidR="00956490" w:rsidRPr="00116D9A" w:rsidRDefault="00956490" w:rsidP="0095649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Os passivos contingentes somam R$ 830.663,74 em 31 de dezembro de 2019 e se referem a demandas judiciais.</w:t>
      </w:r>
    </w:p>
    <w:p w:rsidR="008A3226" w:rsidRPr="00116D9A" w:rsidRDefault="008A3226"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4.2 Divulgações não financeiras, tais como: os objetivos e políticas de gestão do risco financeiro da entidade; pressupostos das estimativas</w:t>
      </w:r>
    </w:p>
    <w:p w:rsidR="008A3226" w:rsidRPr="00116D9A" w:rsidRDefault="008A3226" w:rsidP="00737254">
      <w:pPr>
        <w:autoSpaceDE w:val="0"/>
        <w:autoSpaceDN w:val="0"/>
        <w:adjustRightInd w:val="0"/>
        <w:spacing w:after="0" w:line="240" w:lineRule="auto"/>
        <w:jc w:val="both"/>
        <w:rPr>
          <w:rFonts w:ascii="Arial" w:hAnsi="Arial" w:cs="Arial"/>
          <w:bCs/>
          <w:color w:val="000000" w:themeColor="text1"/>
          <w:sz w:val="24"/>
          <w:szCs w:val="24"/>
        </w:rPr>
      </w:pPr>
      <w:r w:rsidRPr="00116D9A">
        <w:rPr>
          <w:rFonts w:ascii="Arial" w:hAnsi="Arial" w:cs="Arial"/>
          <w:bCs/>
          <w:color w:val="000000" w:themeColor="text1"/>
          <w:sz w:val="24"/>
          <w:szCs w:val="24"/>
        </w:rPr>
        <w:t>Não foi necessário adotar política de gestão de risco financeiro pela entidade.</w:t>
      </w:r>
    </w:p>
    <w:p w:rsidR="008A3226" w:rsidRPr="00116D9A" w:rsidRDefault="008A3226"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4.3 Reconhecimento de inconformidades que podem afetar a compreensão do usuário sobre o desempenho e o direcionamento das operações da entidade no futuro</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Não há eventos que possam afetar a compreensão do usuário quanto ao desempenho futura das operações da entidade.</w:t>
      </w: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rPr>
      </w:pPr>
      <w:r w:rsidRPr="00116D9A">
        <w:rPr>
          <w:rFonts w:ascii="Arial" w:hAnsi="Arial" w:cs="Arial"/>
          <w:b/>
          <w:bCs/>
          <w:color w:val="215868" w:themeColor="accent5" w:themeShade="80"/>
          <w:sz w:val="24"/>
          <w:szCs w:val="24"/>
        </w:rPr>
        <w:t>4.4 Ajustes decorrentes de omissões e erros de registro</w:t>
      </w:r>
    </w:p>
    <w:p w:rsidR="00956490" w:rsidRPr="00116D9A" w:rsidRDefault="00956490" w:rsidP="00956490">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oram realizados em 201</w:t>
      </w:r>
      <w:r>
        <w:rPr>
          <w:rFonts w:ascii="Arial" w:hAnsi="Arial" w:cs="Arial"/>
          <w:bCs/>
          <w:sz w:val="24"/>
          <w:szCs w:val="24"/>
        </w:rPr>
        <w:t>9,</w:t>
      </w:r>
      <w:r w:rsidRPr="00116D9A">
        <w:rPr>
          <w:rFonts w:ascii="Arial" w:hAnsi="Arial" w:cs="Arial"/>
          <w:bCs/>
          <w:sz w:val="24"/>
          <w:szCs w:val="24"/>
        </w:rPr>
        <w:t xml:space="preserve"> ajustes </w:t>
      </w:r>
      <w:r>
        <w:rPr>
          <w:rFonts w:ascii="Arial" w:hAnsi="Arial" w:cs="Arial"/>
          <w:bCs/>
          <w:sz w:val="24"/>
          <w:szCs w:val="24"/>
        </w:rPr>
        <w:t xml:space="preserve">patrimoniais de R$ 2.762.785,88, </w:t>
      </w:r>
      <w:r w:rsidRPr="00116D9A">
        <w:rPr>
          <w:rFonts w:ascii="Arial" w:hAnsi="Arial" w:cs="Arial"/>
          <w:bCs/>
          <w:sz w:val="24"/>
          <w:szCs w:val="24"/>
        </w:rPr>
        <w:t>decorrentes de</w:t>
      </w:r>
      <w:r>
        <w:rPr>
          <w:rFonts w:ascii="Arial" w:hAnsi="Arial" w:cs="Arial"/>
          <w:bCs/>
          <w:sz w:val="24"/>
          <w:szCs w:val="24"/>
        </w:rPr>
        <w:t xml:space="preserve"> ajustes necessários, com base na atualização física e contábil realizado no exercício.</w:t>
      </w: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CB2342" w:rsidRDefault="00CB2342"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EF405C" w:rsidRPr="0098101A" w:rsidRDefault="00EF405C" w:rsidP="00EF405C">
      <w:pPr>
        <w:autoSpaceDE w:val="0"/>
        <w:autoSpaceDN w:val="0"/>
        <w:adjustRightInd w:val="0"/>
        <w:spacing w:line="240" w:lineRule="auto"/>
        <w:ind w:left="1418" w:right="1417"/>
        <w:jc w:val="center"/>
        <w:rPr>
          <w:rFonts w:ascii="Bahnschrift" w:hAnsi="Bahnschrift" w:cs="Arial"/>
          <w:b/>
          <w:bCs/>
          <w:color w:val="000000" w:themeColor="text1"/>
          <w:sz w:val="28"/>
          <w:szCs w:val="28"/>
        </w:rPr>
      </w:pPr>
      <w:r w:rsidRPr="0098101A">
        <w:rPr>
          <w:rFonts w:ascii="Bahnschrift" w:hAnsi="Bahnschrift" w:cs="Arial"/>
          <w:b/>
          <w:bCs/>
          <w:color w:val="000000" w:themeColor="text1"/>
          <w:sz w:val="28"/>
          <w:szCs w:val="28"/>
        </w:rPr>
        <w:t>NOTAS EXPLICATIVAS DO BALANÇO 2019</w:t>
      </w:r>
    </w:p>
    <w:p w:rsidR="00EF405C" w:rsidRDefault="00EF405C"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Notas explicativas são informações adicionais às apresentadas nos quadros das DCASP. São consideradas parte integrante das demonstrações.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Englobam informações de qualquer natureza exigidas pela lei, pelas normas contábeis e outras informações relevantes não suficientemente evidenciadas ou que não constam nas demonstrações.</w:t>
      </w: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BASE DE ELABORAÇÃO E APRESENTAÇÃO DAS DEMONSTRAÇÕES CONTÁBEIS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As Demonstrações Contábeis consolidadas deste Relatório Técnico foram elaboradas com base nos dados extraídos no sistema informatizado do Município incluem os dados do Poder Executivo e Legislativo.</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utilizados pelo sistema informatizado do Fundo Municipal de Saúde o do Tribunal de Contas do Estado de Santa Catarina.</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São compostas pelo Balanço Orçamentário, Balanço Financeiro e Balanço Patrimonial, e também pela Demonstração das Variações Patrimoniais, Demonstração dos Fluxos de Caixa e Demonstração das Mutações do Patrimônio Líquido.</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Essas demonstrações foram elaboradas de acordo com as orientações do Manual de Contabilid</w:t>
      </w:r>
      <w:r w:rsidR="00956490">
        <w:rPr>
          <w:rFonts w:ascii="Arial" w:hAnsi="Arial" w:cs="Arial"/>
          <w:color w:val="808080" w:themeColor="background1" w:themeShade="80"/>
          <w:sz w:val="24"/>
          <w:szCs w:val="24"/>
        </w:rPr>
        <w:t>ade Aplicada ao Setor Público, 8</w:t>
      </w:r>
      <w:r>
        <w:rPr>
          <w:rFonts w:ascii="Arial" w:hAnsi="Arial" w:cs="Arial"/>
          <w:color w:val="808080" w:themeColor="background1" w:themeShade="80"/>
          <w:sz w:val="24"/>
          <w:szCs w:val="24"/>
        </w:rPr>
        <w:t xml:space="preserve">ª edição, que observa os dispositivos legais que regulam o assunto, como a Lei nº 4.320/1964, a Lei Complementar nº 101/2000 e, também, as disposições do Conselho Federal de Contabilidade, assim como as Normas Brasileiras de Contabilidade Aplicadas ao Setor Público. Desde a adoção do novo PCASP, em 2015, foi realizado grande esforço da equipe técnica, para </w:t>
      </w:r>
      <w:r>
        <w:rPr>
          <w:rFonts w:ascii="Arial" w:hAnsi="Arial" w:cs="Arial"/>
          <w:color w:val="808080" w:themeColor="background1" w:themeShade="80"/>
          <w:sz w:val="24"/>
          <w:szCs w:val="24"/>
        </w:rPr>
        <w:lastRenderedPageBreak/>
        <w:t>implantação de controles e procedimentos contábeis, entre eles, estão: o reconhecimento pelo regime de competência dos créditos tributários a receber; a reavaliação patrimonial (bens móveis, imóveis e intangíveis); registro contábil da depreciação; apropriação de despesas pagas antecipadamente; o cálculo da perda da dívida ativa; e o controle de estoque.</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EF405C" w:rsidRDefault="00E910C5"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r>
        <w:pict>
          <v:oval id="Elipse 3" o:spid="_x0000_s1028" style="position:absolute;left:0;text-align:left;margin-left:139.95pt;margin-top:.8pt;width:362.25pt;height:29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" fillcolor="#4bacc6 [3208]" strokecolor="white [3212]" strokeweight="2pt">
            <v:textbox>
              <w:txbxContent>
                <w:p w:rsidR="00E910C5" w:rsidRDefault="00E910C5" w:rsidP="00EF405C">
                  <w:pPr>
                    <w:autoSpaceDE w:val="0"/>
                    <w:autoSpaceDN w:val="0"/>
                    <w:adjustRightInd w:val="0"/>
                    <w:spacing w:line="240" w:lineRule="auto"/>
                    <w:jc w:val="right"/>
                    <w:rPr>
                      <w:rFonts w:ascii="Arial" w:hAnsi="Arial" w:cs="Arial"/>
                      <w:b/>
                      <w:i/>
                      <w:color w:val="FFFFFF" w:themeColor="background1"/>
                      <w:sz w:val="32"/>
                      <w:szCs w:val="32"/>
                    </w:rPr>
                  </w:pPr>
                  <w:r>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2019 e das Notas Explicativas relacionadas.</w:t>
                  </w:r>
                </w:p>
                <w:p w:rsidR="00E910C5" w:rsidRDefault="00E910C5" w:rsidP="00EF405C">
                  <w:pPr>
                    <w:jc w:val="center"/>
                    <w:rPr>
                      <w:color w:val="FFFFFF" w:themeColor="background1"/>
                    </w:rPr>
                  </w:pPr>
                </w:p>
              </w:txbxContent>
            </v:textbox>
          </v:oval>
        </w:pict>
      </w: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Pr>
          <w:rFonts w:ascii="Arial" w:hAnsi="Arial" w:cs="Arial"/>
          <w:color w:val="808080" w:themeColor="background1" w:themeShade="80"/>
          <w:sz w:val="24"/>
          <w:szCs w:val="24"/>
        </w:rPr>
        <w:softHyphen/>
        <w:t xml:space="preserve">nicação entre a população e o Governo Municipal, transformando dados complexos em informações compreensíveis. Desse modo, queremos </w:t>
      </w:r>
      <w:r>
        <w:rPr>
          <w:rFonts w:ascii="Arial" w:hAnsi="Arial" w:cs="Arial"/>
          <w:color w:val="808080" w:themeColor="background1" w:themeShade="80"/>
          <w:sz w:val="24"/>
          <w:szCs w:val="24"/>
        </w:rPr>
        <w:lastRenderedPageBreak/>
        <w:t>dina</w:t>
      </w:r>
      <w:r>
        <w:rPr>
          <w:rFonts w:ascii="Arial" w:hAnsi="Arial" w:cs="Arial"/>
          <w:color w:val="808080" w:themeColor="background1" w:themeShade="80"/>
          <w:sz w:val="24"/>
          <w:szCs w:val="24"/>
        </w:rPr>
        <w:softHyphen/>
        <w:t>mizar o controle social para propiciar que a sociedade esteja mais ciente das ações do Governo Municipal.</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A missão cabe ao Setor de Contabilidade do Município, responsável por organizar e consolidar os dados contábeis, oriundos do sistema informatizado de contabilidade e dos atos de gestão do Governo Municipal. </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A contabilidade atua como o interlocutor entre o poder público e a so</w:t>
      </w:r>
      <w:r>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Pr>
          <w:rFonts w:ascii="Arial" w:hAnsi="Arial" w:cs="Arial"/>
          <w:i/>
          <w:color w:val="215868" w:themeColor="accent5" w:themeShade="80"/>
          <w:sz w:val="24"/>
          <w:szCs w:val="24"/>
        </w:rPr>
        <w:t>Esse papel se revela fundamental para a promoção da cidadania plena. Acreditamos que ela só será atingida quando gestores e adminis</w:t>
      </w:r>
      <w:r>
        <w:rPr>
          <w:rFonts w:ascii="Arial" w:hAnsi="Arial" w:cs="Arial"/>
          <w:i/>
          <w:color w:val="215868" w:themeColor="accent5" w:themeShade="80"/>
          <w:sz w:val="24"/>
          <w:szCs w:val="24"/>
        </w:rPr>
        <w:softHyphen/>
        <w:t>trados tiverem posições simétricas relativas às informações advindas do setor público.</w:t>
      </w:r>
      <w:r>
        <w:rPr>
          <w:rFonts w:ascii="Arial" w:hAnsi="Arial" w:cs="Arial"/>
          <w:color w:val="215868" w:themeColor="accent5" w:themeShade="80"/>
          <w:sz w:val="24"/>
          <w:szCs w:val="24"/>
        </w:rPr>
        <w:t xml:space="preserve"> </w:t>
      </w:r>
      <w:r>
        <w:rPr>
          <w:rFonts w:ascii="Arial" w:hAnsi="Arial" w:cs="Arial"/>
          <w:i/>
          <w:color w:val="215868" w:themeColor="accent5" w:themeShade="80"/>
          <w:sz w:val="24"/>
          <w:szCs w:val="24"/>
        </w:rPr>
        <w:t>Em outras palavras, quando um número deixar de ser so</w:t>
      </w:r>
      <w:r>
        <w:rPr>
          <w:rFonts w:ascii="Arial" w:hAnsi="Arial" w:cs="Arial"/>
          <w:i/>
          <w:color w:val="215868" w:themeColor="accent5" w:themeShade="80"/>
          <w:sz w:val="24"/>
          <w:szCs w:val="24"/>
        </w:rPr>
        <w:softHyphen/>
        <w:t>mente um número e fornecer uma perspectiva de análise e julgamento da ação governamental.</w:t>
      </w:r>
      <w:r>
        <w:rPr>
          <w:rFonts w:ascii="Arial" w:hAnsi="Arial" w:cs="Arial"/>
          <w:color w:val="215868" w:themeColor="accent5" w:themeShade="80"/>
          <w:sz w:val="24"/>
          <w:szCs w:val="24"/>
        </w:rPr>
        <w:t xml:space="preserve"> </w:t>
      </w: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Seguindo o propósito de aperfeiçoamento contínuo e de maior trans</w:t>
      </w:r>
      <w:r>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do Município.</w:t>
      </w:r>
    </w:p>
    <w:p w:rsidR="00EF405C" w:rsidRDefault="00EF405C" w:rsidP="00EF405C">
      <w:pPr>
        <w:autoSpaceDE w:val="0"/>
        <w:autoSpaceDN w:val="0"/>
        <w:adjustRightInd w:val="0"/>
        <w:spacing w:line="240" w:lineRule="auto"/>
        <w:jc w:val="center"/>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jc w:val="center"/>
        <w:rPr>
          <w:rFonts w:ascii="Arial" w:hAnsi="Arial" w:cs="Arial"/>
          <w:color w:val="A6A6A6" w:themeColor="background1" w:themeShade="A6"/>
          <w:sz w:val="24"/>
          <w:szCs w:val="24"/>
        </w:rPr>
      </w:pPr>
    </w:p>
    <w:p w:rsidR="00EF405C" w:rsidRDefault="00EF405C" w:rsidP="00EF405C">
      <w:pPr>
        <w:spacing w:after="0" w:line="240" w:lineRule="auto"/>
        <w:rPr>
          <w:rFonts w:ascii="Arial" w:hAnsi="Arial" w:cs="Arial"/>
          <w:color w:val="A6A6A6" w:themeColor="background1" w:themeShade="A6"/>
          <w:sz w:val="24"/>
          <w:szCs w:val="24"/>
        </w:rPr>
        <w:sectPr w:rsidR="00EF405C" w:rsidSect="00EF405C">
          <w:type w:val="continuous"/>
          <w:pgSz w:w="11906" w:h="16838"/>
          <w:pgMar w:top="1418" w:right="1133" w:bottom="1418" w:left="1701" w:header="709" w:footer="709" w:gutter="0"/>
          <w:cols w:space="720"/>
        </w:sectPr>
      </w:pPr>
    </w:p>
    <w:p w:rsidR="00EF405C" w:rsidRDefault="00EF405C" w:rsidP="00EF405C">
      <w:pPr>
        <w:spacing w:after="0" w:line="240" w:lineRule="auto"/>
        <w:rPr>
          <w:rFonts w:ascii="Bahnschrift" w:hAnsi="Bahnschrift" w:cs="Arial"/>
          <w:b/>
          <w:bCs/>
          <w:color w:val="984806" w:themeColor="accent6" w:themeShade="80"/>
          <w:sz w:val="28"/>
          <w:szCs w:val="28"/>
        </w:rPr>
        <w:sectPr w:rsidR="00EF405C">
          <w:pgSz w:w="11906" w:h="16838"/>
          <w:pgMar w:top="1418" w:right="1133" w:bottom="1418" w:left="1701" w:header="709" w:footer="709" w:gutter="0"/>
          <w:cols w:space="720"/>
        </w:sect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NOTAS EXPLICATIVAS AO BALANÇO ORÇAMENTÁRIO</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 A execução do orçamento da Entidade Município de </w:t>
      </w:r>
      <w:r>
        <w:rPr>
          <w:rFonts w:ascii="Arial" w:hAnsi="Arial" w:cs="Arial"/>
        </w:rPr>
        <w:t>Santa Terezinha do Progresso</w:t>
      </w:r>
      <w:r>
        <w:rPr>
          <w:rFonts w:ascii="Arial" w:hAnsi="Arial" w:cs="Arial"/>
          <w:sz w:val="24"/>
          <w:szCs w:val="24"/>
        </w:rPr>
        <w:t xml:space="preserve"> em 2018, apresentou os seguintes resultados:</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sz w:val="10"/>
          <w:szCs w:val="10"/>
        </w:rPr>
      </w:pPr>
    </w:p>
    <w:tbl>
      <w:tblPr>
        <w:tblStyle w:val="TabeladeGrade4-nfase52"/>
        <w:tblW w:w="9122" w:type="dxa"/>
        <w:jc w:val="center"/>
        <w:tblLook w:val="04A0" w:firstRow="1" w:lastRow="0" w:firstColumn="1" w:lastColumn="0" w:noHBand="0" w:noVBand="1"/>
      </w:tblPr>
      <w:tblGrid>
        <w:gridCol w:w="6862"/>
        <w:gridCol w:w="2260"/>
      </w:tblGrid>
      <w:tr w:rsidR="00EF405C" w:rsidTr="00EF405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EF405C" w:rsidRDefault="00EF405C">
            <w:pPr>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BALANÇO ORÇAMENTÁRIO</w:t>
            </w:r>
          </w:p>
        </w:tc>
        <w:tc>
          <w:tcPr>
            <w:tcW w:w="2260"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 xml:space="preserve"> 2019</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center"/>
              <w:rPr>
                <w:rFonts w:ascii="Arial" w:eastAsia="Times New Roman" w:hAnsi="Arial" w:cs="Arial"/>
                <w:sz w:val="20"/>
                <w:szCs w:val="20"/>
                <w:lang w:eastAsia="pt-BR"/>
              </w:rPr>
            </w:pPr>
            <w:r>
              <w:rPr>
                <w:rFonts w:ascii="Arial" w:eastAsia="Times New Roman" w:hAnsi="Arial" w:cs="Arial"/>
                <w:sz w:val="20"/>
                <w:szCs w:val="20"/>
                <w:lang w:eastAsia="pt-BR"/>
              </w:rPr>
              <w:t>RECEITAS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Valor</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Previsão Inicial da Receita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15.919.000,00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Previsão Atualizada da Receita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15.919.000,00</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Receitas Realizadas Líquida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16.817.784,86</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Déficit Orçamentário</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center"/>
              <w:rPr>
                <w:rFonts w:ascii="Arial" w:eastAsia="Times New Roman" w:hAnsi="Arial" w:cs="Arial"/>
                <w:sz w:val="20"/>
                <w:szCs w:val="20"/>
                <w:lang w:eastAsia="pt-BR"/>
              </w:rPr>
            </w:pPr>
            <w:r>
              <w:rPr>
                <w:rFonts w:ascii="Arial" w:eastAsia="Times New Roman" w:hAnsi="Arial" w:cs="Arial"/>
                <w:sz w:val="20"/>
                <w:szCs w:val="20"/>
                <w:lang w:eastAsia="pt-BR"/>
              </w:rPr>
              <w:t>DESPESAS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Valor</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Dotação Inicial</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15.919.000,00</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Créditos Adicionais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2.936.924,43</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Dotação Atualizada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18.855.924,43</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Empenhadas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16.357.328,94</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Liquidadas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16.054.226,15</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 Paga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16.039.468,49</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Superávit Orçamentário</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460.455,92</w:t>
            </w:r>
          </w:p>
        </w:tc>
      </w:tr>
    </w:tbl>
    <w:p w:rsidR="00EF405C" w:rsidRDefault="00EF405C" w:rsidP="00EF405C">
      <w:pPr>
        <w:pStyle w:val="PargrafodaLista"/>
        <w:spacing w:after="0" w:line="240" w:lineRule="auto"/>
        <w:ind w:left="0"/>
        <w:rPr>
          <w:noProof/>
          <w:lang w:eastAsia="pt-BR"/>
        </w:rPr>
      </w:pPr>
    </w:p>
    <w:p w:rsidR="00956490" w:rsidRDefault="00956490" w:rsidP="00956490">
      <w:pPr>
        <w:spacing w:line="240" w:lineRule="auto"/>
        <w:jc w:val="both"/>
        <w:rPr>
          <w:rFonts w:ascii="Arial" w:hAnsi="Arial" w:cs="Arial"/>
          <w:bCs/>
          <w:sz w:val="24"/>
          <w:szCs w:val="24"/>
        </w:rPr>
      </w:pPr>
      <w:r>
        <w:rPr>
          <w:rFonts w:ascii="Arial" w:hAnsi="Arial" w:cs="Arial"/>
          <w:bCs/>
          <w:sz w:val="24"/>
          <w:szCs w:val="24"/>
        </w:rPr>
        <w:t>O resultado orçamentário de 2019 da Entidade Prefeitura foi superavitário em R$ 460.455,92, quando comparado a receita arrecadada com a despesa empenhada.</w:t>
      </w:r>
    </w:p>
    <w:p w:rsidR="00EF405C" w:rsidRDefault="00EF405C" w:rsidP="00EF405C">
      <w:pPr>
        <w:pStyle w:val="PargrafodaLista"/>
        <w:spacing w:after="0" w:line="240" w:lineRule="auto"/>
        <w:ind w:left="405"/>
        <w:rPr>
          <w:rFonts w:ascii="Arial" w:hAnsi="Arial" w:cs="Arial"/>
          <w:b/>
          <w:bCs/>
          <w:color w:val="FF0000"/>
          <w:sz w:val="24"/>
          <w:szCs w:val="24"/>
        </w:rPr>
      </w:pPr>
    </w:p>
    <w:p w:rsidR="00EF405C" w:rsidRDefault="00EF405C" w:rsidP="00EF405C">
      <w:pPr>
        <w:pStyle w:val="PargrafodaLista"/>
        <w:spacing w:after="0" w:line="240" w:lineRule="auto"/>
        <w:ind w:left="405"/>
        <w:rPr>
          <w:rFonts w:ascii="Arial" w:hAnsi="Arial" w:cs="Arial"/>
          <w:b/>
          <w:bCs/>
          <w:color w:val="FF0000"/>
          <w:sz w:val="24"/>
          <w:szCs w:val="24"/>
        </w:rPr>
      </w:pPr>
    </w:p>
    <w:p w:rsidR="00EF405C" w:rsidRPr="0098101A" w:rsidRDefault="00EF405C" w:rsidP="0098101A">
      <w:pPr>
        <w:pStyle w:val="PargrafodaLista"/>
        <w:numPr>
          <w:ilvl w:val="0"/>
          <w:numId w:val="30"/>
        </w:numPr>
        <w:spacing w:after="0" w:line="240" w:lineRule="auto"/>
        <w:ind w:left="426"/>
        <w:rPr>
          <w:rFonts w:ascii="Arial" w:hAnsi="Arial" w:cs="Arial"/>
          <w:b/>
          <w:bCs/>
          <w:color w:val="FF0000"/>
          <w:sz w:val="24"/>
          <w:szCs w:val="24"/>
        </w:rPr>
      </w:pPr>
      <w:r w:rsidRPr="0098101A">
        <w:rPr>
          <w:rFonts w:ascii="Arial" w:hAnsi="Arial" w:cs="Arial"/>
          <w:b/>
          <w:bCs/>
          <w:color w:val="215868" w:themeColor="accent5" w:themeShade="80"/>
          <w:sz w:val="24"/>
          <w:szCs w:val="24"/>
        </w:rPr>
        <w:t>Previsão da receita versus arrecadação</w:t>
      </w:r>
    </w:p>
    <w:p w:rsidR="00EF405C" w:rsidRDefault="00EF405C" w:rsidP="00EF405C">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072" w:type="dxa"/>
        <w:tblInd w:w="108" w:type="dxa"/>
        <w:tblLook w:val="04A0" w:firstRow="1" w:lastRow="0" w:firstColumn="1" w:lastColumn="0" w:noHBand="0" w:noVBand="1"/>
      </w:tblPr>
      <w:tblGrid>
        <w:gridCol w:w="4044"/>
        <w:gridCol w:w="1496"/>
        <w:gridCol w:w="1840"/>
        <w:gridCol w:w="1692"/>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RECEITA</w:t>
            </w:r>
          </w:p>
        </w:tc>
        <w:tc>
          <w:tcPr>
            <w:tcW w:w="1496"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PREVISÃO</w:t>
            </w:r>
          </w:p>
        </w:tc>
        <w:tc>
          <w:tcPr>
            <w:tcW w:w="1840"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ARRECADAÇÃO</w:t>
            </w:r>
          </w:p>
        </w:tc>
        <w:tc>
          <w:tcPr>
            <w:tcW w:w="1692"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DIFERENÇA</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RECEITAS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13.239.175,84</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15.054.800,42</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1.815.624,58</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 xml:space="preserve">Impostos, Taxas e </w:t>
            </w:r>
            <w:proofErr w:type="spellStart"/>
            <w:r>
              <w:rPr>
                <w:rFonts w:ascii="Arial" w:hAnsi="Arial" w:cs="Arial"/>
                <w:sz w:val="20"/>
                <w:szCs w:val="20"/>
              </w:rPr>
              <w:t>Contrib</w:t>
            </w:r>
            <w:proofErr w:type="spellEnd"/>
            <w:r>
              <w:rPr>
                <w:rFonts w:ascii="Arial" w:hAnsi="Arial" w:cs="Arial"/>
                <w:sz w:val="20"/>
                <w:szCs w:val="20"/>
              </w:rPr>
              <w:t>. de Melhoria</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370.341,71</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565.542,09</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195.200,38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Contribuições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68.087,62</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3.087,62</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Patrimonial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48.828,82</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54.826,06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5.997,24</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Serviços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112.059,11</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157.957,05</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45.897,94</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Transferências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12.620.552,94</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14.076.300,80</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1.455.747,86</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Outras receitas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22.393,26</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132.086,80</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109.693,54</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RECEITAS DE CAPITAL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2.679.824,16</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1.762.984,44</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-916.839,72</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Operações de crédito</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1.000.000,00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1.000.000,00</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0,00</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Alienação de bens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179.000,00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79.400,00</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-99.600,00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Transferência de capital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1.500.824,16</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683.584,44</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-817.239,72</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TOTAL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15.919.000,0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16.817.784,86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898.784,86</w:t>
            </w:r>
          </w:p>
        </w:tc>
      </w:tr>
    </w:tbl>
    <w:p w:rsidR="00956490" w:rsidRDefault="00956490"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Em análise ao Balanço Orçamentário, pode-se observar que as receita de Impostos, Taxas e Contribuição de Melhoria, </w:t>
      </w:r>
      <w:r w:rsidR="00956490">
        <w:rPr>
          <w:rFonts w:ascii="Arial" w:hAnsi="Arial" w:cs="Arial"/>
          <w:bCs/>
          <w:sz w:val="24"/>
          <w:szCs w:val="24"/>
        </w:rPr>
        <w:t>patrimonial</w:t>
      </w:r>
      <w:r w:rsidR="00877B10">
        <w:rPr>
          <w:rFonts w:ascii="Arial" w:hAnsi="Arial" w:cs="Arial"/>
          <w:bCs/>
          <w:sz w:val="24"/>
          <w:szCs w:val="24"/>
        </w:rPr>
        <w:t>, receita de Serviços, de</w:t>
      </w:r>
      <w:r>
        <w:rPr>
          <w:rFonts w:ascii="Arial" w:hAnsi="Arial" w:cs="Arial"/>
          <w:bCs/>
          <w:sz w:val="24"/>
          <w:szCs w:val="24"/>
        </w:rPr>
        <w:t xml:space="preserve"> transferências </w:t>
      </w:r>
      <w:r>
        <w:rPr>
          <w:rFonts w:ascii="Arial" w:hAnsi="Arial" w:cs="Arial"/>
          <w:bCs/>
          <w:sz w:val="24"/>
          <w:szCs w:val="24"/>
        </w:rPr>
        <w:lastRenderedPageBreak/>
        <w:t>correntes e de outras receitas correntes resultaram em excesso de arrecadação</w:t>
      </w:r>
      <w:r w:rsidR="00956490">
        <w:rPr>
          <w:rFonts w:ascii="Arial" w:hAnsi="Arial" w:cs="Arial"/>
          <w:bCs/>
          <w:sz w:val="24"/>
          <w:szCs w:val="24"/>
        </w:rPr>
        <w:t xml:space="preserve"> montante de R$ 1.815.624,58.</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As receitas de capital resultaram </w:t>
      </w:r>
      <w:r w:rsidR="00956490">
        <w:rPr>
          <w:rFonts w:ascii="Arial" w:hAnsi="Arial" w:cs="Arial"/>
          <w:bCs/>
          <w:sz w:val="24"/>
          <w:szCs w:val="24"/>
        </w:rPr>
        <w:t>em insuficiência de arrecadação, de R$ 916.839,72.</w:t>
      </w:r>
    </w:p>
    <w:p w:rsidR="00956490" w:rsidRDefault="00956490" w:rsidP="00EF405C">
      <w:pPr>
        <w:spacing w:after="0" w:line="240" w:lineRule="auto"/>
        <w:jc w:val="both"/>
        <w:rPr>
          <w:rFonts w:ascii="Arial" w:hAnsi="Arial" w:cs="Arial"/>
          <w:bCs/>
          <w:sz w:val="24"/>
          <w:szCs w:val="24"/>
        </w:rPr>
      </w:pPr>
    </w:p>
    <w:p w:rsidR="00956490" w:rsidRDefault="00956490" w:rsidP="00EF405C">
      <w:pPr>
        <w:spacing w:after="0" w:line="240" w:lineRule="auto"/>
        <w:jc w:val="both"/>
        <w:rPr>
          <w:rFonts w:ascii="Arial" w:hAnsi="Arial" w:cs="Arial"/>
          <w:bCs/>
          <w:sz w:val="24"/>
          <w:szCs w:val="24"/>
        </w:rPr>
      </w:pPr>
      <w:r>
        <w:rPr>
          <w:rFonts w:ascii="Arial" w:hAnsi="Arial" w:cs="Arial"/>
          <w:bCs/>
          <w:sz w:val="24"/>
          <w:szCs w:val="24"/>
        </w:rPr>
        <w:t>Em resumo, o resultado orçamentário de 2019, consolidado, foi superávit de R$ 898.784,86.</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98101A" w:rsidRDefault="00EF405C" w:rsidP="0098101A">
      <w:pPr>
        <w:pStyle w:val="PargrafodaLista"/>
        <w:numPr>
          <w:ilvl w:val="0"/>
          <w:numId w:val="30"/>
        </w:numPr>
        <w:spacing w:after="0" w:line="240" w:lineRule="auto"/>
        <w:ind w:left="426"/>
        <w:jc w:val="both"/>
        <w:rPr>
          <w:rFonts w:ascii="Arial" w:hAnsi="Arial" w:cs="Arial"/>
          <w:b/>
          <w:bCs/>
          <w:color w:val="215868" w:themeColor="accent5" w:themeShade="80"/>
          <w:sz w:val="24"/>
          <w:szCs w:val="24"/>
        </w:rPr>
      </w:pPr>
      <w:r w:rsidRPr="0098101A">
        <w:rPr>
          <w:rFonts w:ascii="Arial" w:hAnsi="Arial" w:cs="Arial"/>
          <w:b/>
          <w:bCs/>
          <w:color w:val="215868" w:themeColor="accent5" w:themeShade="80"/>
          <w:sz w:val="24"/>
          <w:szCs w:val="24"/>
        </w:rPr>
        <w:t xml:space="preserve">Detalhamento das receitas e despesas </w:t>
      </w:r>
      <w:proofErr w:type="spellStart"/>
      <w:r w:rsidRPr="0098101A">
        <w:rPr>
          <w:rFonts w:ascii="Arial" w:hAnsi="Arial" w:cs="Arial"/>
          <w:b/>
          <w:bCs/>
          <w:color w:val="215868" w:themeColor="accent5" w:themeShade="80"/>
          <w:sz w:val="24"/>
          <w:szCs w:val="24"/>
        </w:rPr>
        <w:t>intraorçamentárias</w:t>
      </w:r>
      <w:proofErr w:type="spellEnd"/>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Não houveram receitas e despesas </w:t>
      </w:r>
      <w:proofErr w:type="spellStart"/>
      <w:r>
        <w:rPr>
          <w:rFonts w:ascii="Arial" w:hAnsi="Arial" w:cs="Arial"/>
          <w:bCs/>
          <w:sz w:val="24"/>
          <w:szCs w:val="24"/>
        </w:rPr>
        <w:t>intraorçamentária</w:t>
      </w:r>
      <w:proofErr w:type="spellEnd"/>
      <w:r>
        <w:rPr>
          <w:rFonts w:ascii="Arial" w:hAnsi="Arial" w:cs="Arial"/>
          <w:bCs/>
          <w:sz w:val="24"/>
          <w:szCs w:val="24"/>
        </w:rPr>
        <w:t xml:space="preserve">, apenas transferências </w:t>
      </w:r>
      <w:proofErr w:type="spellStart"/>
      <w:r>
        <w:rPr>
          <w:rFonts w:ascii="Arial" w:hAnsi="Arial" w:cs="Arial"/>
          <w:bCs/>
          <w:sz w:val="24"/>
          <w:szCs w:val="24"/>
        </w:rPr>
        <w:t>intraorçamentárias</w:t>
      </w:r>
      <w:proofErr w:type="spellEnd"/>
      <w:r>
        <w:rPr>
          <w:rFonts w:ascii="Arial" w:hAnsi="Arial" w:cs="Arial"/>
          <w:bCs/>
          <w:sz w:val="24"/>
          <w:szCs w:val="24"/>
        </w:rPr>
        <w:t>:</w:t>
      </w:r>
    </w:p>
    <w:p w:rsidR="00EF405C" w:rsidRDefault="00EF405C" w:rsidP="00EF40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3369"/>
        <w:gridCol w:w="3402"/>
        <w:gridCol w:w="2301"/>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ENTIDADE CONCEDENTE</w:t>
            </w:r>
          </w:p>
        </w:tc>
        <w:tc>
          <w:tcPr>
            <w:tcW w:w="3402"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ENTIDADE RECEBEDORA</w:t>
            </w:r>
          </w:p>
        </w:tc>
        <w:tc>
          <w:tcPr>
            <w:tcW w:w="2301"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VALOR</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Prefeitura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Fundo Municipal de Saúde</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2.402.727,79</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Prefeitura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Câmara </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769.992,00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Câmara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Prefeitura</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27.110,03</w:t>
            </w:r>
          </w:p>
        </w:tc>
      </w:tr>
    </w:tbl>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3 Utilização do superávit financeiro e da reabertura de créditos especiais e extraordinários</w:t>
      </w:r>
    </w:p>
    <w:p w:rsidR="00EF405C" w:rsidRPr="009A0BD3" w:rsidRDefault="00EF405C" w:rsidP="00EF405C">
      <w:pPr>
        <w:autoSpaceDE w:val="0"/>
        <w:autoSpaceDN w:val="0"/>
        <w:adjustRightInd w:val="0"/>
        <w:spacing w:after="0" w:line="240" w:lineRule="auto"/>
        <w:jc w:val="both"/>
        <w:rPr>
          <w:rFonts w:ascii="Arial" w:hAnsi="Arial" w:cs="Arial"/>
        </w:rPr>
      </w:pPr>
      <w:r w:rsidRPr="009A0BD3">
        <w:rPr>
          <w:rFonts w:ascii="Arial" w:hAnsi="Arial" w:cs="Arial"/>
        </w:rPr>
        <w:t xml:space="preserve">Foram utilizados R$ </w:t>
      </w:r>
      <w:r w:rsidR="009A0BD3" w:rsidRPr="009A0BD3">
        <w:rPr>
          <w:rFonts w:ascii="Arial" w:hAnsi="Arial" w:cs="Arial"/>
        </w:rPr>
        <w:t>1.735.717,18</w:t>
      </w:r>
      <w:r w:rsidRPr="009A0BD3">
        <w:rPr>
          <w:rFonts w:ascii="Arial" w:hAnsi="Arial" w:cs="Arial"/>
        </w:rPr>
        <w:t xml:space="preserve"> em recursos de superávit financeiro para abertura de créditos</w:t>
      </w:r>
      <w:r w:rsidR="00D02188" w:rsidRPr="009A0BD3">
        <w:rPr>
          <w:rFonts w:ascii="Arial" w:hAnsi="Arial" w:cs="Arial"/>
        </w:rPr>
        <w:t xml:space="preserve"> adicionais no exercício de 2019</w:t>
      </w:r>
      <w:r w:rsidRPr="009A0BD3">
        <w:rPr>
          <w:rFonts w:ascii="Arial" w:hAnsi="Arial" w:cs="Arial"/>
        </w:rPr>
        <w:t xml:space="preserve">. </w:t>
      </w:r>
    </w:p>
    <w:p w:rsidR="00EF405C" w:rsidRPr="009A0BD3" w:rsidRDefault="00EF405C" w:rsidP="00EF405C">
      <w:pPr>
        <w:autoSpaceDE w:val="0"/>
        <w:autoSpaceDN w:val="0"/>
        <w:adjustRightInd w:val="0"/>
        <w:spacing w:after="0" w:line="240" w:lineRule="auto"/>
        <w:jc w:val="both"/>
        <w:rPr>
          <w:rFonts w:ascii="Arial" w:hAnsi="Arial" w:cs="Arial"/>
        </w:rPr>
      </w:pPr>
    </w:p>
    <w:p w:rsidR="00EF405C" w:rsidRPr="009A0BD3" w:rsidRDefault="00EF405C" w:rsidP="00EF405C">
      <w:pPr>
        <w:autoSpaceDE w:val="0"/>
        <w:autoSpaceDN w:val="0"/>
        <w:adjustRightInd w:val="0"/>
        <w:spacing w:after="0" w:line="240" w:lineRule="auto"/>
        <w:jc w:val="both"/>
        <w:rPr>
          <w:rFonts w:ascii="Arial" w:hAnsi="Arial" w:cs="Arial"/>
        </w:rPr>
      </w:pPr>
      <w:r w:rsidRPr="009A0BD3">
        <w:rPr>
          <w:rFonts w:ascii="Arial" w:hAnsi="Arial" w:cs="Arial"/>
        </w:rPr>
        <w:t xml:space="preserve">Foram utilizados R$ </w:t>
      </w:r>
      <w:r w:rsidR="009A0BD3" w:rsidRPr="009A0BD3">
        <w:rPr>
          <w:rFonts w:ascii="Arial" w:hAnsi="Arial" w:cs="Arial"/>
        </w:rPr>
        <w:t>1.201.207,25</w:t>
      </w:r>
      <w:r w:rsidRPr="009A0BD3">
        <w:rPr>
          <w:rFonts w:ascii="Arial" w:hAnsi="Arial" w:cs="Arial"/>
        </w:rPr>
        <w:t xml:space="preserve"> em recursos de excesso de arrecadação para abertura de créditos adicionais no exercício de 201</w:t>
      </w:r>
      <w:r w:rsidR="00D02188" w:rsidRPr="009A0BD3">
        <w:rPr>
          <w:rFonts w:ascii="Arial" w:hAnsi="Arial" w:cs="Arial"/>
        </w:rPr>
        <w:t>9</w:t>
      </w:r>
      <w:r w:rsidRPr="009A0BD3">
        <w:rPr>
          <w:rFonts w:ascii="Arial" w:hAnsi="Arial" w:cs="Arial"/>
        </w:rPr>
        <w:t xml:space="preserve">. </w:t>
      </w:r>
    </w:p>
    <w:p w:rsidR="00EF405C" w:rsidRPr="009A0BD3" w:rsidRDefault="00EF405C" w:rsidP="00EF405C">
      <w:pPr>
        <w:autoSpaceDE w:val="0"/>
        <w:autoSpaceDN w:val="0"/>
        <w:adjustRightInd w:val="0"/>
        <w:spacing w:after="0" w:line="240" w:lineRule="auto"/>
        <w:jc w:val="both"/>
        <w:rPr>
          <w:rFonts w:ascii="Arial" w:hAnsi="Arial" w:cs="Arial"/>
        </w:rPr>
      </w:pPr>
    </w:p>
    <w:p w:rsidR="00EF405C" w:rsidRPr="009A0BD3" w:rsidRDefault="00EF405C" w:rsidP="00EF405C">
      <w:pPr>
        <w:autoSpaceDE w:val="0"/>
        <w:autoSpaceDN w:val="0"/>
        <w:adjustRightInd w:val="0"/>
        <w:spacing w:after="0" w:line="240" w:lineRule="auto"/>
        <w:jc w:val="both"/>
        <w:rPr>
          <w:rFonts w:ascii="Arial" w:hAnsi="Arial" w:cs="Arial"/>
        </w:rPr>
      </w:pPr>
      <w:r w:rsidRPr="009A0BD3">
        <w:rPr>
          <w:rFonts w:ascii="Arial" w:hAnsi="Arial" w:cs="Arial"/>
        </w:rPr>
        <w:t>Não foram reabertos créditos adicionais no exercício.</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FF0000"/>
          <w:sz w:val="24"/>
          <w:szCs w:val="24"/>
        </w:rPr>
      </w:pPr>
      <w:r>
        <w:rPr>
          <w:rFonts w:ascii="Arial" w:hAnsi="Arial" w:cs="Arial"/>
          <w:b/>
          <w:bCs/>
          <w:color w:val="215868" w:themeColor="accent5" w:themeShade="80"/>
          <w:sz w:val="24"/>
          <w:szCs w:val="24"/>
        </w:rPr>
        <w:t>4</w:t>
      </w:r>
      <w:r w:rsidR="00FB41B2">
        <w:rPr>
          <w:rFonts w:ascii="Arial" w:hAnsi="Arial" w:cs="Arial"/>
          <w:b/>
          <w:bCs/>
          <w:color w:val="215868" w:themeColor="accent5" w:themeShade="80"/>
          <w:sz w:val="24"/>
          <w:szCs w:val="24"/>
        </w:rPr>
        <w:t>.</w:t>
      </w:r>
      <w:r>
        <w:rPr>
          <w:rFonts w:ascii="Arial" w:hAnsi="Arial" w:cs="Arial"/>
          <w:b/>
          <w:bCs/>
          <w:color w:val="215868" w:themeColor="accent5" w:themeShade="80"/>
          <w:sz w:val="24"/>
          <w:szCs w:val="24"/>
        </w:rPr>
        <w:t xml:space="preserve"> Detalhamento da execução das despesas – análise da dotação inicial versus dotação atualizada</w:t>
      </w:r>
    </w:p>
    <w:p w:rsidR="00EF405C" w:rsidRDefault="00EF405C" w:rsidP="00EF405C">
      <w:pPr>
        <w:spacing w:after="0" w:line="240" w:lineRule="auto"/>
        <w:rPr>
          <w:rFonts w:ascii="Arial" w:hAnsi="Arial" w:cs="Arial"/>
          <w:b/>
          <w:bCs/>
          <w:color w:val="FF0000"/>
          <w:sz w:val="24"/>
          <w:szCs w:val="24"/>
        </w:rPr>
      </w:pPr>
    </w:p>
    <w:tbl>
      <w:tblPr>
        <w:tblStyle w:val="TabeladeGrade4-nfase52"/>
        <w:tblW w:w="0" w:type="auto"/>
        <w:tblInd w:w="108" w:type="dxa"/>
        <w:tblLook w:val="04A0" w:firstRow="1" w:lastRow="0" w:firstColumn="1" w:lastColumn="0" w:noHBand="0" w:noVBand="1"/>
      </w:tblPr>
      <w:tblGrid>
        <w:gridCol w:w="3139"/>
        <w:gridCol w:w="3074"/>
        <w:gridCol w:w="2967"/>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hideMark/>
          </w:tcPr>
          <w:p w:rsidR="00EF405C" w:rsidRDefault="00EF405C">
            <w:pPr>
              <w:rPr>
                <w:rFonts w:ascii="Arial" w:hAnsi="Arial" w:cs="Arial"/>
                <w:bCs w:val="0"/>
                <w:color w:val="215868" w:themeColor="accent5" w:themeShade="80"/>
                <w:sz w:val="20"/>
                <w:szCs w:val="20"/>
              </w:rPr>
            </w:pPr>
            <w:r>
              <w:rPr>
                <w:rFonts w:ascii="Arial" w:eastAsia="Times New Roman" w:hAnsi="Arial" w:cs="Arial"/>
                <w:color w:val="auto"/>
                <w:sz w:val="20"/>
                <w:szCs w:val="20"/>
                <w:lang w:eastAsia="pt-BR"/>
              </w:rPr>
              <w:t>DESPESAS ORÇAMENTÁRIAS</w:t>
            </w:r>
          </w:p>
        </w:tc>
        <w:tc>
          <w:tcPr>
            <w:tcW w:w="3074"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INICIAL</w:t>
            </w:r>
          </w:p>
        </w:tc>
        <w:tc>
          <w:tcPr>
            <w:tcW w:w="2967"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ATUALIZADA</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CORRENTES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12.313.105,84</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
                <w:bCs/>
                <w:sz w:val="20"/>
                <w:szCs w:val="20"/>
              </w:rPr>
              <w:t>14.041.903,70</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Pessoal e encargos sociais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6.683.240,00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7.000.421,85</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Juros e Encargos da Dívida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40.000,00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3.115,37</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Outras despesas correntes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5.589.865,84</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7.038.366,48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DE CAPITAL</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3.525.894,16</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4.774.020,73</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Investimento</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3.475.894,16</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4.774.020,73</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Amortização da divida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RESERVA DE CONTINGÊNCIA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80.000,00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40.000,00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EF405C">
            <w:pPr>
              <w:rPr>
                <w:rFonts w:ascii="Arial" w:hAnsi="Arial" w:cs="Arial"/>
                <w:bCs w:val="0"/>
                <w:color w:val="215868" w:themeColor="accent5" w:themeShade="80"/>
                <w:sz w:val="20"/>
                <w:szCs w:val="20"/>
              </w:rPr>
            </w:pP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15.919.000,00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18.855.924,43</w:t>
            </w:r>
          </w:p>
        </w:tc>
      </w:tr>
    </w:tbl>
    <w:p w:rsidR="00606AD9" w:rsidRPr="00BA2569" w:rsidRDefault="00606AD9" w:rsidP="00606AD9">
      <w:pPr>
        <w:spacing w:line="240" w:lineRule="auto"/>
        <w:jc w:val="both"/>
        <w:rPr>
          <w:rFonts w:ascii="Arial" w:hAnsi="Arial" w:cs="Arial"/>
          <w:bCs/>
          <w:sz w:val="24"/>
          <w:szCs w:val="24"/>
        </w:rPr>
      </w:pPr>
    </w:p>
    <w:p w:rsidR="00606AD9" w:rsidRPr="00BA2569" w:rsidRDefault="00606AD9" w:rsidP="00606AD9">
      <w:pPr>
        <w:spacing w:line="240" w:lineRule="auto"/>
        <w:jc w:val="both"/>
        <w:rPr>
          <w:rFonts w:ascii="Arial" w:hAnsi="Arial" w:cs="Arial"/>
          <w:bCs/>
          <w:sz w:val="24"/>
          <w:szCs w:val="24"/>
        </w:rPr>
      </w:pPr>
      <w:r w:rsidRPr="00BA2569">
        <w:rPr>
          <w:rFonts w:ascii="Arial" w:hAnsi="Arial" w:cs="Arial"/>
          <w:bCs/>
          <w:sz w:val="24"/>
          <w:szCs w:val="24"/>
        </w:rPr>
        <w:t xml:space="preserve">Durante o exercício de 2019, o Município de Santa Terezinha do Progresso, SC, criou e abriu créditos adicionais especiais e créditos adicionais suplementares, </w:t>
      </w:r>
      <w:r w:rsidRPr="00BA2569">
        <w:rPr>
          <w:rFonts w:ascii="Arial" w:hAnsi="Arial" w:cs="Arial"/>
          <w:bCs/>
          <w:sz w:val="24"/>
          <w:szCs w:val="24"/>
        </w:rPr>
        <w:lastRenderedPageBreak/>
        <w:t>buscando realizar as alterações orçamentárias necessárias para atender a demanda dos serviços e obras públicas, ainda de acordo com o ingresso de recursos financeiros.</w:t>
      </w:r>
    </w:p>
    <w:p w:rsidR="00606AD9" w:rsidRPr="00BA2569" w:rsidRDefault="00606AD9" w:rsidP="00606AD9">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 conforme artigo 42 da Lei Federal 4.320/1964, “Art. 42. Os créditos suplementares e especiais serão autorizados por lei e abertos por decreto executivo”.</w:t>
      </w:r>
    </w:p>
    <w:p w:rsidR="00606AD9" w:rsidRPr="00BA2569" w:rsidRDefault="00606AD9" w:rsidP="00606AD9">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2019, do Município de </w:t>
      </w:r>
      <w:r w:rsidRPr="00BA2569">
        <w:rPr>
          <w:rFonts w:ascii="Arial" w:hAnsi="Arial" w:cs="Arial"/>
          <w:bCs/>
        </w:rPr>
        <w:t>Santa Terezinha do Progresso</w:t>
      </w:r>
      <w:r w:rsidRPr="00BA2569">
        <w:rPr>
          <w:rFonts w:ascii="Arial" w:eastAsiaTheme="minorHAnsi" w:hAnsi="Arial" w:cs="Arial"/>
          <w:bCs/>
          <w:lang w:eastAsia="en-US"/>
        </w:rPr>
        <w:t xml:space="preserve">, SC, previu autorização para abertura de créditos adicionais suplementares, conforme art. 7º da Lei Federal 4.320/1964, “Art. 7° A Lei de Orçamento poderá conter autorização ao Executivo para: </w:t>
      </w:r>
      <w:bookmarkStart w:id="0" w:name="art7i"/>
      <w:bookmarkEnd w:id="0"/>
      <w:r w:rsidRPr="00BA2569">
        <w:rPr>
          <w:rFonts w:ascii="Arial" w:eastAsiaTheme="minorHAnsi" w:hAnsi="Arial" w:cs="Arial"/>
          <w:bCs/>
          <w:lang w:eastAsia="en-US"/>
        </w:rPr>
        <w:t>I - Abrir créditos suplementares até determinada importância obedecidas as disposições do artigo 43; (...)”. </w:t>
      </w:r>
    </w:p>
    <w:p w:rsidR="00606AD9" w:rsidRPr="00BA2569" w:rsidRDefault="00606AD9" w:rsidP="00606AD9">
      <w:pPr>
        <w:pStyle w:val="NormalWeb"/>
        <w:jc w:val="both"/>
        <w:rPr>
          <w:rFonts w:ascii="Arial" w:eastAsiaTheme="minorHAnsi" w:hAnsi="Arial" w:cs="Arial"/>
          <w:bCs/>
          <w:lang w:eastAsia="en-US"/>
        </w:rPr>
      </w:pPr>
      <w:r w:rsidRPr="00BA2569">
        <w:rPr>
          <w:rFonts w:ascii="Arial" w:eastAsiaTheme="minorHAnsi" w:hAnsi="Arial" w:cs="Arial"/>
          <w:bCs/>
          <w:lang w:eastAsia="en-US"/>
        </w:rPr>
        <w:t>Lei Municipal 1402, de 03 de dezembro de 2018, Lei Orçamentária 2019 do Município de Santa Terezinha do Progresso:</w:t>
      </w:r>
    </w:p>
    <w:p w:rsidR="00606AD9" w:rsidRPr="00BA2569" w:rsidRDefault="00606AD9" w:rsidP="00606AD9">
      <w:pPr>
        <w:pStyle w:val="NormalWeb"/>
        <w:ind w:left="2268"/>
        <w:jc w:val="both"/>
        <w:rPr>
          <w:rFonts w:ascii="Arial" w:eastAsiaTheme="minorHAnsi" w:hAnsi="Arial" w:cs="Arial"/>
          <w:bCs/>
          <w:sz w:val="22"/>
          <w:szCs w:val="22"/>
          <w:lang w:eastAsia="en-US"/>
        </w:rPr>
      </w:pPr>
      <w:r w:rsidRPr="00BA2569">
        <w:rPr>
          <w:rFonts w:ascii="Arial" w:eastAsiaTheme="minorHAnsi" w:hAnsi="Arial" w:cs="Arial"/>
          <w:bCs/>
          <w:sz w:val="22"/>
          <w:szCs w:val="22"/>
          <w:lang w:eastAsia="en-US"/>
        </w:rPr>
        <w:t>Art. 5º. O Poder Executivo Municipal está autorizado, a abrir créditos adicionais suplementares, até o limite de 15% da Receita estimada, utilizando como fontes de recursos, desde que não comprometidos (...)</w:t>
      </w:r>
    </w:p>
    <w:p w:rsidR="00606AD9" w:rsidRPr="0097185D" w:rsidRDefault="00606AD9" w:rsidP="00606AD9">
      <w:pPr>
        <w:spacing w:after="0" w:line="240" w:lineRule="auto"/>
        <w:ind w:left="2268"/>
        <w:jc w:val="both"/>
        <w:rPr>
          <w:rFonts w:ascii="Arial" w:hAnsi="Arial" w:cs="Arial"/>
          <w:bCs/>
          <w:color w:val="FF0000"/>
        </w:rPr>
      </w:pPr>
    </w:p>
    <w:p w:rsidR="00606AD9" w:rsidRPr="009A0BD3" w:rsidRDefault="00606AD9" w:rsidP="00606AD9">
      <w:pPr>
        <w:spacing w:after="0" w:line="240" w:lineRule="auto"/>
        <w:jc w:val="both"/>
        <w:rPr>
          <w:rFonts w:ascii="Arial" w:hAnsi="Arial" w:cs="Arial"/>
          <w:bCs/>
          <w:sz w:val="24"/>
          <w:szCs w:val="24"/>
        </w:rPr>
      </w:pPr>
      <w:r w:rsidRPr="009A0BD3">
        <w:rPr>
          <w:rFonts w:ascii="Arial" w:hAnsi="Arial" w:cs="Arial"/>
          <w:bCs/>
          <w:sz w:val="24"/>
          <w:szCs w:val="24"/>
        </w:rPr>
        <w:t xml:space="preserve">Durante o exercício de 2019, a abertura de créditos adicionais no valor total de R$ </w:t>
      </w:r>
      <w:r w:rsidR="009A0BD3" w:rsidRPr="009A0BD3">
        <w:rPr>
          <w:rFonts w:ascii="Arial" w:hAnsi="Arial" w:cs="Arial"/>
          <w:bCs/>
          <w:sz w:val="24"/>
          <w:szCs w:val="24"/>
        </w:rPr>
        <w:t>5.764.312,86</w:t>
      </w:r>
      <w:r w:rsidRPr="009A0BD3">
        <w:rPr>
          <w:rFonts w:ascii="Arial" w:hAnsi="Arial" w:cs="Arial"/>
          <w:bCs/>
          <w:sz w:val="24"/>
          <w:szCs w:val="24"/>
        </w:rPr>
        <w:t>, pode assim ser apresentada:</w:t>
      </w:r>
    </w:p>
    <w:p w:rsidR="00606AD9" w:rsidRPr="009A0BD3" w:rsidRDefault="00606AD9" w:rsidP="00606AD9">
      <w:pPr>
        <w:spacing w:after="0" w:line="240" w:lineRule="auto"/>
        <w:jc w:val="both"/>
        <w:rPr>
          <w:rFonts w:ascii="Arial" w:hAnsi="Arial" w:cs="Arial"/>
          <w:bCs/>
          <w:sz w:val="24"/>
          <w:szCs w:val="24"/>
        </w:rPr>
      </w:pPr>
    </w:p>
    <w:p w:rsidR="00606AD9" w:rsidRPr="009A0BD3" w:rsidRDefault="00606AD9" w:rsidP="00606AD9">
      <w:pPr>
        <w:spacing w:after="0" w:line="240" w:lineRule="auto"/>
        <w:jc w:val="both"/>
        <w:rPr>
          <w:rFonts w:ascii="Arial" w:hAnsi="Arial" w:cs="Arial"/>
          <w:bCs/>
          <w:sz w:val="24"/>
          <w:szCs w:val="24"/>
        </w:rPr>
      </w:pPr>
    </w:p>
    <w:p w:rsidR="00606AD9" w:rsidRPr="009A0BD3" w:rsidRDefault="00606AD9" w:rsidP="00606AD9">
      <w:pPr>
        <w:spacing w:after="0" w:line="240" w:lineRule="auto"/>
        <w:jc w:val="both"/>
        <w:rPr>
          <w:rFonts w:ascii="Arial" w:hAnsi="Arial" w:cs="Arial"/>
          <w:bCs/>
          <w:sz w:val="24"/>
          <w:szCs w:val="24"/>
        </w:rPr>
      </w:pPr>
      <w:r w:rsidRPr="009A0BD3">
        <w:rPr>
          <w:rFonts w:ascii="Arial" w:hAnsi="Arial" w:cs="Arial"/>
          <w:bCs/>
          <w:sz w:val="24"/>
          <w:szCs w:val="24"/>
        </w:rPr>
        <w:t>Por tipo de Credito Adicional:</w:t>
      </w:r>
    </w:p>
    <w:p w:rsidR="00606AD9" w:rsidRPr="009A0BD3" w:rsidRDefault="00606AD9" w:rsidP="00606AD9">
      <w:pPr>
        <w:pStyle w:val="PargrafodaLista"/>
        <w:numPr>
          <w:ilvl w:val="0"/>
          <w:numId w:val="22"/>
        </w:numPr>
        <w:spacing w:after="0" w:line="240" w:lineRule="auto"/>
        <w:jc w:val="both"/>
        <w:rPr>
          <w:rFonts w:ascii="Arial" w:hAnsi="Arial" w:cs="Arial"/>
          <w:bCs/>
          <w:sz w:val="24"/>
          <w:szCs w:val="24"/>
        </w:rPr>
      </w:pPr>
      <w:r w:rsidRPr="009A0BD3">
        <w:rPr>
          <w:rFonts w:ascii="Arial" w:hAnsi="Arial" w:cs="Arial"/>
          <w:bCs/>
          <w:sz w:val="24"/>
          <w:szCs w:val="24"/>
        </w:rPr>
        <w:t xml:space="preserve">Suplementar: R$ </w:t>
      </w:r>
      <w:r w:rsidR="009A0BD3" w:rsidRPr="009A0BD3">
        <w:rPr>
          <w:rFonts w:ascii="Arial" w:hAnsi="Arial" w:cs="Arial"/>
          <w:bCs/>
          <w:sz w:val="24"/>
          <w:szCs w:val="24"/>
        </w:rPr>
        <w:t>4.830.281,43</w:t>
      </w:r>
    </w:p>
    <w:p w:rsidR="00606AD9" w:rsidRPr="009A0BD3" w:rsidRDefault="00606AD9" w:rsidP="00606AD9">
      <w:pPr>
        <w:pStyle w:val="PargrafodaLista"/>
        <w:numPr>
          <w:ilvl w:val="0"/>
          <w:numId w:val="22"/>
        </w:numPr>
        <w:spacing w:after="0" w:line="240" w:lineRule="auto"/>
        <w:jc w:val="both"/>
        <w:rPr>
          <w:rFonts w:ascii="Arial" w:hAnsi="Arial" w:cs="Arial"/>
          <w:bCs/>
          <w:sz w:val="24"/>
          <w:szCs w:val="24"/>
        </w:rPr>
      </w:pPr>
      <w:r w:rsidRPr="009A0BD3">
        <w:rPr>
          <w:rFonts w:ascii="Arial" w:hAnsi="Arial" w:cs="Arial"/>
          <w:bCs/>
          <w:sz w:val="24"/>
          <w:szCs w:val="24"/>
        </w:rPr>
        <w:t>Especial: R</w:t>
      </w:r>
      <w:r w:rsidR="009A0BD3" w:rsidRPr="009A0BD3">
        <w:rPr>
          <w:rFonts w:ascii="Arial" w:hAnsi="Arial" w:cs="Arial"/>
          <w:bCs/>
          <w:sz w:val="24"/>
          <w:szCs w:val="24"/>
        </w:rPr>
        <w:t>$ 934.031,43</w:t>
      </w:r>
    </w:p>
    <w:p w:rsidR="00606AD9" w:rsidRPr="009A0BD3" w:rsidRDefault="00606AD9" w:rsidP="00606AD9">
      <w:pPr>
        <w:spacing w:after="0" w:line="240" w:lineRule="auto"/>
        <w:jc w:val="both"/>
        <w:rPr>
          <w:rFonts w:ascii="Arial" w:hAnsi="Arial" w:cs="Arial"/>
          <w:bCs/>
          <w:sz w:val="24"/>
          <w:szCs w:val="24"/>
        </w:rPr>
      </w:pPr>
    </w:p>
    <w:p w:rsidR="00606AD9" w:rsidRPr="009A0BD3" w:rsidRDefault="00606AD9" w:rsidP="00606AD9">
      <w:pPr>
        <w:spacing w:after="0" w:line="240" w:lineRule="auto"/>
        <w:jc w:val="both"/>
        <w:rPr>
          <w:rFonts w:ascii="Arial" w:hAnsi="Arial" w:cs="Arial"/>
          <w:bCs/>
          <w:sz w:val="24"/>
          <w:szCs w:val="24"/>
        </w:rPr>
      </w:pPr>
      <w:r w:rsidRPr="009A0BD3">
        <w:rPr>
          <w:rFonts w:ascii="Arial" w:hAnsi="Arial" w:cs="Arial"/>
          <w:bCs/>
          <w:sz w:val="24"/>
          <w:szCs w:val="24"/>
        </w:rPr>
        <w:t>Pela origem do recurso do Credito Adicional:</w:t>
      </w:r>
    </w:p>
    <w:p w:rsidR="00606AD9" w:rsidRPr="009A0BD3" w:rsidRDefault="00606AD9" w:rsidP="00606AD9">
      <w:pPr>
        <w:pStyle w:val="PargrafodaLista"/>
        <w:numPr>
          <w:ilvl w:val="0"/>
          <w:numId w:val="22"/>
        </w:numPr>
        <w:spacing w:after="0" w:line="240" w:lineRule="auto"/>
        <w:jc w:val="both"/>
        <w:rPr>
          <w:rFonts w:ascii="Arial" w:hAnsi="Arial" w:cs="Arial"/>
          <w:bCs/>
          <w:sz w:val="24"/>
          <w:szCs w:val="24"/>
        </w:rPr>
      </w:pPr>
      <w:r w:rsidRPr="009A0BD3">
        <w:rPr>
          <w:rFonts w:ascii="Arial" w:hAnsi="Arial" w:cs="Arial"/>
          <w:bCs/>
          <w:sz w:val="24"/>
          <w:szCs w:val="24"/>
        </w:rPr>
        <w:t xml:space="preserve">Superávit Financeiro:         R$ </w:t>
      </w:r>
      <w:r w:rsidR="009A0BD3" w:rsidRPr="009A0BD3">
        <w:rPr>
          <w:rFonts w:ascii="Arial" w:hAnsi="Arial" w:cs="Arial"/>
          <w:bCs/>
          <w:sz w:val="24"/>
          <w:szCs w:val="24"/>
        </w:rPr>
        <w:t>1.735.717,18</w:t>
      </w:r>
    </w:p>
    <w:p w:rsidR="00606AD9" w:rsidRPr="009A0BD3" w:rsidRDefault="00606AD9" w:rsidP="00606AD9">
      <w:pPr>
        <w:pStyle w:val="PargrafodaLista"/>
        <w:numPr>
          <w:ilvl w:val="0"/>
          <w:numId w:val="22"/>
        </w:numPr>
        <w:spacing w:after="0" w:line="240" w:lineRule="auto"/>
        <w:jc w:val="both"/>
        <w:rPr>
          <w:rFonts w:ascii="Arial" w:hAnsi="Arial" w:cs="Arial"/>
          <w:bCs/>
          <w:sz w:val="24"/>
          <w:szCs w:val="24"/>
        </w:rPr>
      </w:pPr>
      <w:r w:rsidRPr="009A0BD3">
        <w:rPr>
          <w:rFonts w:ascii="Arial" w:hAnsi="Arial" w:cs="Arial"/>
          <w:bCs/>
          <w:sz w:val="24"/>
          <w:szCs w:val="24"/>
        </w:rPr>
        <w:t xml:space="preserve">Excesso de Arrecadação:  R$ </w:t>
      </w:r>
      <w:r w:rsidR="009A0BD3" w:rsidRPr="009A0BD3">
        <w:rPr>
          <w:rFonts w:ascii="Arial" w:hAnsi="Arial" w:cs="Arial"/>
          <w:bCs/>
          <w:sz w:val="24"/>
          <w:szCs w:val="24"/>
        </w:rPr>
        <w:t>1.201.207,25</w:t>
      </w:r>
    </w:p>
    <w:p w:rsidR="00606AD9" w:rsidRPr="009A0BD3" w:rsidRDefault="00606AD9" w:rsidP="00606AD9">
      <w:pPr>
        <w:pStyle w:val="PargrafodaLista"/>
        <w:numPr>
          <w:ilvl w:val="0"/>
          <w:numId w:val="22"/>
        </w:numPr>
        <w:spacing w:after="0" w:line="240" w:lineRule="auto"/>
        <w:ind w:left="1068"/>
        <w:jc w:val="both"/>
        <w:rPr>
          <w:rFonts w:ascii="Arial" w:hAnsi="Arial" w:cs="Arial"/>
          <w:bCs/>
          <w:sz w:val="24"/>
          <w:szCs w:val="24"/>
        </w:rPr>
      </w:pPr>
      <w:r w:rsidRPr="009A0BD3">
        <w:rPr>
          <w:rFonts w:ascii="Arial" w:hAnsi="Arial" w:cs="Arial"/>
          <w:bCs/>
          <w:sz w:val="24"/>
          <w:szCs w:val="24"/>
        </w:rPr>
        <w:t xml:space="preserve">Adicionar/Subtrair </w:t>
      </w:r>
      <w:bookmarkStart w:id="1" w:name="OLE_LINK21"/>
      <w:bookmarkStart w:id="2" w:name="OLE_LINK22"/>
      <w:r w:rsidRPr="009A0BD3">
        <w:rPr>
          <w:rFonts w:ascii="Arial" w:hAnsi="Arial" w:cs="Arial"/>
          <w:bCs/>
          <w:sz w:val="24"/>
          <w:szCs w:val="24"/>
        </w:rPr>
        <w:t xml:space="preserve">anulação de dotação: R$ </w:t>
      </w:r>
      <w:bookmarkEnd w:id="1"/>
      <w:bookmarkEnd w:id="2"/>
      <w:r w:rsidR="009A0BD3" w:rsidRPr="009A0BD3">
        <w:rPr>
          <w:rFonts w:ascii="Arial" w:hAnsi="Arial" w:cs="Arial"/>
          <w:bCs/>
          <w:sz w:val="24"/>
          <w:szCs w:val="24"/>
        </w:rPr>
        <w:t>2.827.388,43</w:t>
      </w:r>
    </w:p>
    <w:p w:rsidR="00606AD9" w:rsidRPr="009A0BD3" w:rsidRDefault="00606AD9" w:rsidP="00606AD9">
      <w:pPr>
        <w:spacing w:after="0" w:line="240" w:lineRule="auto"/>
        <w:jc w:val="both"/>
        <w:rPr>
          <w:rFonts w:ascii="Arial" w:hAnsi="Arial" w:cs="Arial"/>
          <w:bCs/>
          <w:sz w:val="24"/>
          <w:szCs w:val="24"/>
        </w:rPr>
      </w:pPr>
    </w:p>
    <w:p w:rsidR="00606AD9" w:rsidRPr="009A0BD3" w:rsidRDefault="00606AD9" w:rsidP="00EF405C">
      <w:pPr>
        <w:spacing w:line="240" w:lineRule="auto"/>
        <w:jc w:val="both"/>
        <w:rPr>
          <w:rFonts w:ascii="Arial" w:hAnsi="Arial" w:cs="Arial"/>
          <w:b/>
          <w:bCs/>
          <w:sz w:val="24"/>
          <w:szCs w:val="24"/>
        </w:rPr>
      </w:pPr>
    </w:p>
    <w:p w:rsidR="00606AD9" w:rsidRDefault="00606AD9" w:rsidP="00EF405C">
      <w:pPr>
        <w:spacing w:line="240" w:lineRule="auto"/>
        <w:jc w:val="both"/>
        <w:rPr>
          <w:rFonts w:ascii="Arial" w:hAnsi="Arial" w:cs="Arial"/>
          <w:b/>
          <w:bCs/>
          <w:color w:val="215868" w:themeColor="accent5" w:themeShade="80"/>
          <w:sz w:val="24"/>
          <w:szCs w:val="24"/>
        </w:rPr>
      </w:pPr>
    </w:p>
    <w:p w:rsidR="00606AD9" w:rsidRDefault="00606AD9" w:rsidP="00EF405C">
      <w:pPr>
        <w:spacing w:line="240" w:lineRule="auto"/>
        <w:jc w:val="both"/>
        <w:rPr>
          <w:rFonts w:ascii="Arial" w:hAnsi="Arial" w:cs="Arial"/>
          <w:b/>
          <w:bCs/>
          <w:color w:val="215868" w:themeColor="accent5" w:themeShade="80"/>
          <w:sz w:val="24"/>
          <w:szCs w:val="24"/>
        </w:rPr>
      </w:pPr>
    </w:p>
    <w:p w:rsidR="00606AD9" w:rsidRDefault="00606AD9" w:rsidP="00EF405C">
      <w:pPr>
        <w:spacing w:line="240" w:lineRule="auto"/>
        <w:jc w:val="both"/>
        <w:rPr>
          <w:rFonts w:ascii="Arial" w:hAnsi="Arial" w:cs="Arial"/>
          <w:b/>
          <w:bCs/>
          <w:color w:val="215868" w:themeColor="accent5" w:themeShade="80"/>
          <w:sz w:val="24"/>
          <w:szCs w:val="24"/>
        </w:rPr>
      </w:pPr>
    </w:p>
    <w:p w:rsidR="00606AD9" w:rsidRDefault="00606AD9" w:rsidP="00EF405C">
      <w:pPr>
        <w:spacing w:line="240" w:lineRule="auto"/>
        <w:jc w:val="both"/>
        <w:rPr>
          <w:rFonts w:ascii="Arial" w:hAnsi="Arial" w:cs="Arial"/>
          <w:b/>
          <w:bCs/>
          <w:color w:val="215868" w:themeColor="accent5" w:themeShade="80"/>
          <w:sz w:val="24"/>
          <w:szCs w:val="24"/>
        </w:rPr>
      </w:pPr>
    </w:p>
    <w:p w:rsidR="00606AD9" w:rsidRDefault="00606AD9" w:rsidP="00EF405C">
      <w:pPr>
        <w:spacing w:line="240" w:lineRule="auto"/>
        <w:jc w:val="both"/>
        <w:rPr>
          <w:rFonts w:ascii="Arial" w:hAnsi="Arial" w:cs="Arial"/>
          <w:b/>
          <w:bCs/>
          <w:color w:val="215868" w:themeColor="accent5" w:themeShade="80"/>
          <w:sz w:val="24"/>
          <w:szCs w:val="24"/>
        </w:rPr>
      </w:pPr>
    </w:p>
    <w:p w:rsidR="00EF405C" w:rsidRDefault="00EF405C" w:rsidP="00EF405C">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lastRenderedPageBreak/>
        <w:t>5</w:t>
      </w:r>
      <w:r w:rsidR="00FB41B2">
        <w:rPr>
          <w:rFonts w:ascii="Arial" w:hAnsi="Arial" w:cs="Arial"/>
          <w:b/>
          <w:bCs/>
          <w:color w:val="215868" w:themeColor="accent5" w:themeShade="80"/>
          <w:sz w:val="24"/>
          <w:szCs w:val="24"/>
        </w:rPr>
        <w:t>.</w:t>
      </w:r>
      <w:r>
        <w:rPr>
          <w:rFonts w:ascii="Arial" w:hAnsi="Arial" w:cs="Arial"/>
          <w:b/>
          <w:bCs/>
          <w:color w:val="215868" w:themeColor="accent5" w:themeShade="80"/>
          <w:sz w:val="24"/>
          <w:szCs w:val="24"/>
        </w:rPr>
        <w:t xml:space="preserve"> Análise da execução da despesa</w:t>
      </w:r>
    </w:p>
    <w:tbl>
      <w:tblPr>
        <w:tblStyle w:val="TabeladeGrade4-nfase52"/>
        <w:tblW w:w="9072" w:type="dxa"/>
        <w:tblInd w:w="108" w:type="dxa"/>
        <w:tblLook w:val="04A0" w:firstRow="1" w:lastRow="0" w:firstColumn="1" w:lastColumn="0" w:noHBand="0" w:noVBand="1"/>
      </w:tblPr>
      <w:tblGrid>
        <w:gridCol w:w="2683"/>
        <w:gridCol w:w="1672"/>
        <w:gridCol w:w="1672"/>
        <w:gridCol w:w="1549"/>
        <w:gridCol w:w="1496"/>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hideMark/>
          </w:tcPr>
          <w:p w:rsidR="00EF405C" w:rsidRDefault="00EF405C">
            <w:pPr>
              <w:rPr>
                <w:rFonts w:ascii="Arial" w:hAnsi="Arial" w:cs="Arial"/>
                <w:bCs w:val="0"/>
                <w:color w:val="215868" w:themeColor="accent5" w:themeShade="80"/>
                <w:sz w:val="20"/>
                <w:szCs w:val="20"/>
              </w:rPr>
            </w:pPr>
            <w:r>
              <w:rPr>
                <w:rFonts w:ascii="Arial" w:eastAsia="Times New Roman" w:hAnsi="Arial" w:cs="Arial"/>
                <w:color w:val="auto"/>
                <w:sz w:val="20"/>
                <w:szCs w:val="20"/>
                <w:lang w:eastAsia="pt-BR"/>
              </w:rPr>
              <w:t>DESPESAS ORÇAMENTÁRIAS</w:t>
            </w:r>
          </w:p>
        </w:tc>
        <w:tc>
          <w:tcPr>
            <w:tcW w:w="1672"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ATUALIZADA</w:t>
            </w:r>
          </w:p>
        </w:tc>
        <w:tc>
          <w:tcPr>
            <w:tcW w:w="1672"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EMPENHADA</w:t>
            </w:r>
          </w:p>
        </w:tc>
        <w:tc>
          <w:tcPr>
            <w:tcW w:w="1549"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LIQUIDADA</w:t>
            </w:r>
          </w:p>
        </w:tc>
        <w:tc>
          <w:tcPr>
            <w:tcW w:w="1496"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PAGA</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CORRENTES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14.041.903,70</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13.261.078,42</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13.249.983,27</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13.235.225,61</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Pessoal e encargos sociais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7.000.421,85</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6.890.914,48</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6.890.914,48</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6.890.914,48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Juros e Encargos da Dívida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3.115,37</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3.115,37</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3.115,37</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3.115,37</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Outras despesas correntes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7.038.366,48</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6.367.048,57</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6.355.953,42</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6.341.195,76</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DE CAPITAL</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4.774.020,73</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3.096.250,52</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2.804.242,88</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2.804.242,88</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Investimento</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4.774.020,73</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3.096.250,52</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2.804.242,88</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2.804.242,88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Amortização da divida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RESERVA DE CONTINGÊNCIA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40.000,00</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EF405C">
            <w:pPr>
              <w:rPr>
                <w:rFonts w:ascii="Arial" w:hAnsi="Arial" w:cs="Arial"/>
                <w:bCs w:val="0"/>
                <w:color w:val="215868" w:themeColor="accent5" w:themeShade="80"/>
                <w:sz w:val="20"/>
                <w:szCs w:val="20"/>
              </w:rPr>
            </w:pP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18.855.924,43</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16.357.328,94</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16.054.226,15</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16.039.468,49</w:t>
            </w:r>
          </w:p>
        </w:tc>
      </w:tr>
    </w:tbl>
    <w:p w:rsidR="00EF405C" w:rsidRDefault="00EF405C" w:rsidP="00EF405C">
      <w:pPr>
        <w:spacing w:after="0" w:line="240" w:lineRule="auto"/>
        <w:jc w:val="both"/>
        <w:rPr>
          <w:rFonts w:ascii="Arial" w:hAnsi="Arial" w:cs="Arial"/>
          <w:bCs/>
          <w:sz w:val="24"/>
          <w:szCs w:val="24"/>
        </w:rPr>
      </w:pP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As despesas relativas a Pessoal e Encargos Sociais </w:t>
      </w:r>
      <w:r w:rsidR="00F17445">
        <w:rPr>
          <w:rFonts w:ascii="Arial" w:hAnsi="Arial" w:cs="Arial"/>
          <w:bCs/>
          <w:sz w:val="24"/>
          <w:szCs w:val="24"/>
        </w:rPr>
        <w:t xml:space="preserve">e Juros e Encargos da Dívida </w:t>
      </w:r>
      <w:r>
        <w:rPr>
          <w:rFonts w:ascii="Arial" w:hAnsi="Arial" w:cs="Arial"/>
          <w:bCs/>
          <w:sz w:val="24"/>
          <w:szCs w:val="24"/>
        </w:rPr>
        <w:t>foram empenhadas, liquidadas e pagas no mesmo montante em cada categoria econômica, com saldo da despesa atualizada fixada suficiente, demonstrando ainda economia orçamentária.</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As despesas com 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As despesas com Investimentos também carregam saldo de despesas a liquidar e a pagar, tendo em vista os cronogramas físico/financeiro das obras em andamento. </w:t>
      </w:r>
    </w:p>
    <w:p w:rsidR="00EF405C" w:rsidRDefault="0053030A" w:rsidP="00EF405C">
      <w:pPr>
        <w:spacing w:line="240" w:lineRule="auto"/>
        <w:jc w:val="both"/>
        <w:rPr>
          <w:rFonts w:ascii="Arial" w:hAnsi="Arial" w:cs="Arial"/>
          <w:bCs/>
          <w:sz w:val="24"/>
          <w:szCs w:val="24"/>
        </w:rPr>
      </w:pPr>
      <w:r>
        <w:rPr>
          <w:rFonts w:ascii="Arial" w:hAnsi="Arial" w:cs="Arial"/>
          <w:bCs/>
          <w:sz w:val="24"/>
          <w:szCs w:val="24"/>
        </w:rPr>
        <w:t>T</w:t>
      </w:r>
      <w:r w:rsidR="00606AD9">
        <w:rPr>
          <w:rFonts w:ascii="Arial" w:hAnsi="Arial" w:cs="Arial"/>
          <w:bCs/>
          <w:sz w:val="24"/>
          <w:szCs w:val="24"/>
        </w:rPr>
        <w:t>odas as despesas</w:t>
      </w:r>
      <w:r w:rsidR="00EF405C">
        <w:rPr>
          <w:rFonts w:ascii="Arial" w:hAnsi="Arial" w:cs="Arial"/>
          <w:bCs/>
          <w:sz w:val="24"/>
          <w:szCs w:val="24"/>
        </w:rPr>
        <w:t xml:space="preserve"> tiveram saldo orçamentário atualizado suficiente para cobertura das despesas do exercício.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A dotação orçamentária relativa</w:t>
      </w:r>
      <w:r w:rsidR="00B54A82">
        <w:rPr>
          <w:rFonts w:ascii="Arial" w:hAnsi="Arial" w:cs="Arial"/>
          <w:bCs/>
          <w:sz w:val="24"/>
          <w:szCs w:val="24"/>
        </w:rPr>
        <w:t xml:space="preserve"> a </w:t>
      </w:r>
      <w:r w:rsidR="00B54A82" w:rsidRPr="003D27D6">
        <w:rPr>
          <w:rFonts w:ascii="Arial" w:hAnsi="Arial" w:cs="Arial"/>
          <w:bCs/>
          <w:sz w:val="24"/>
          <w:szCs w:val="24"/>
        </w:rPr>
        <w:t>Reserva de Contingência foi executada no valor de R$ 40.000,00 durante o exercício de 2019 conforme Decreto Municipal de Situação de Emergência 232 de 30 de setembro de 2019</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6.</w:t>
      </w:r>
      <w:r w:rsidR="00EF405C">
        <w:rPr>
          <w:rFonts w:ascii="Arial" w:hAnsi="Arial" w:cs="Arial"/>
          <w:b/>
          <w:bCs/>
          <w:color w:val="215868" w:themeColor="accent5" w:themeShade="80"/>
          <w:sz w:val="24"/>
          <w:szCs w:val="24"/>
        </w:rPr>
        <w:t xml:space="preserve"> Avaliação do estoque de restos a pagar processados e não processados</w:t>
      </w:r>
    </w:p>
    <w:p w:rsidR="00D95248" w:rsidRDefault="00D95248" w:rsidP="00D95248">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141.450,34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R$ 100.471,54 pagos no exercício e R$ 1.770,61 cancelados.</w:t>
      </w:r>
      <w:r w:rsidRPr="00DF4B19">
        <w:rPr>
          <w:rFonts w:ascii="Arial" w:hAnsi="Arial" w:cs="Arial"/>
          <w:bCs/>
          <w:sz w:val="24"/>
          <w:szCs w:val="24"/>
        </w:rPr>
        <w:t xml:space="preserve"> </w:t>
      </w:r>
      <w:r>
        <w:rPr>
          <w:rFonts w:ascii="Arial" w:hAnsi="Arial" w:cs="Arial"/>
          <w:bCs/>
          <w:sz w:val="24"/>
          <w:szCs w:val="24"/>
        </w:rPr>
        <w:t>O município inscreveu em restos a pagar não processados R$ 303.102,79.</w:t>
      </w:r>
    </w:p>
    <w:p w:rsidR="00D95248" w:rsidRDefault="00D95248" w:rsidP="00D95248">
      <w:pPr>
        <w:spacing w:after="0" w:line="240" w:lineRule="auto"/>
        <w:jc w:val="both"/>
        <w:rPr>
          <w:rFonts w:ascii="Arial" w:hAnsi="Arial" w:cs="Arial"/>
          <w:bCs/>
          <w:sz w:val="24"/>
          <w:szCs w:val="24"/>
        </w:rPr>
      </w:pPr>
    </w:p>
    <w:p w:rsidR="005E53D5" w:rsidRDefault="00D95248" w:rsidP="00D95248">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9.587,33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R$ 9.441,45 pagos no exercício</w:t>
      </w:r>
      <w:r w:rsidR="00606AD9">
        <w:rPr>
          <w:rFonts w:ascii="Arial" w:hAnsi="Arial" w:cs="Arial"/>
          <w:bCs/>
          <w:sz w:val="24"/>
          <w:szCs w:val="24"/>
        </w:rPr>
        <w:t xml:space="preserve"> e R$ 125,00 cancelados</w:t>
      </w:r>
      <w:r>
        <w:rPr>
          <w:rFonts w:ascii="Arial" w:hAnsi="Arial" w:cs="Arial"/>
          <w:bCs/>
          <w:sz w:val="24"/>
          <w:szCs w:val="24"/>
        </w:rPr>
        <w:t>.</w:t>
      </w:r>
      <w:r w:rsidR="00606AD9">
        <w:rPr>
          <w:rFonts w:ascii="Arial" w:hAnsi="Arial" w:cs="Arial"/>
          <w:bCs/>
          <w:sz w:val="24"/>
          <w:szCs w:val="24"/>
        </w:rPr>
        <w:t xml:space="preserve"> </w:t>
      </w:r>
      <w:r>
        <w:rPr>
          <w:rFonts w:ascii="Arial" w:hAnsi="Arial" w:cs="Arial"/>
          <w:bCs/>
          <w:sz w:val="24"/>
          <w:szCs w:val="24"/>
        </w:rPr>
        <w:t>No</w:t>
      </w:r>
      <w:r w:rsidRPr="008D5259">
        <w:rPr>
          <w:rFonts w:ascii="Arial" w:hAnsi="Arial" w:cs="Arial"/>
          <w:bCs/>
          <w:sz w:val="24"/>
          <w:szCs w:val="24"/>
        </w:rPr>
        <w:t xml:space="preserve"> exercício de </w:t>
      </w:r>
      <w:r>
        <w:rPr>
          <w:rFonts w:ascii="Arial" w:hAnsi="Arial" w:cs="Arial"/>
          <w:bCs/>
          <w:sz w:val="24"/>
          <w:szCs w:val="24"/>
        </w:rPr>
        <w:t>2019 houve a inscrição de R$ 14.757,66, em restos a pagar processados.</w:t>
      </w:r>
    </w:p>
    <w:p w:rsidR="00EF405C" w:rsidRDefault="00EF405C" w:rsidP="00EF405C">
      <w:pPr>
        <w:spacing w:after="0" w:line="240" w:lineRule="auto"/>
        <w:rPr>
          <w:rFonts w:ascii="Arial" w:hAnsi="Arial" w:cs="Arial"/>
          <w:b/>
          <w:bCs/>
          <w:color w:val="984806" w:themeColor="accent6" w:themeShade="80"/>
          <w:sz w:val="24"/>
          <w:szCs w:val="24"/>
        </w:rPr>
      </w:pPr>
    </w:p>
    <w:p w:rsidR="00606AD9" w:rsidRDefault="00606AD9"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NOTAS EXPLICATIVAS AO BALANÇO PATRIMONIAL</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As informações de suporte as Notas Explicativas estão detalhadas em itens anteriores deste relatório.</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7.</w:t>
      </w:r>
      <w:r w:rsidR="00EF405C" w:rsidRPr="00FB41B2">
        <w:rPr>
          <w:rFonts w:ascii="Arial" w:hAnsi="Arial" w:cs="Arial"/>
          <w:b/>
          <w:bCs/>
          <w:color w:val="215868" w:themeColor="accent5" w:themeShade="80"/>
          <w:sz w:val="24"/>
          <w:szCs w:val="24"/>
        </w:rPr>
        <w:t>Caixa e equivalente de caixa</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Aplicações Financeiras</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As disponibilidades financeiras do Município estão aplicadas em bancos oficiais. O registro contábil das aplicações financeiras ocorre em forma de receita de Rem</w:t>
      </w:r>
      <w:r w:rsidR="00BD1D17">
        <w:rPr>
          <w:rFonts w:ascii="Arial" w:hAnsi="Arial" w:cs="Arial"/>
          <w:bCs/>
          <w:sz w:val="24"/>
          <w:szCs w:val="24"/>
        </w:rPr>
        <w:t>uneração de Depósitos Bancários.</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Fontes de Recurso.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A</w:t>
      </w:r>
      <w:r w:rsidR="00E910C5">
        <w:rPr>
          <w:rFonts w:ascii="Arial" w:hAnsi="Arial" w:cs="Arial"/>
          <w:bCs/>
          <w:sz w:val="24"/>
          <w:szCs w:val="24"/>
        </w:rPr>
        <w:t>s</w:t>
      </w:r>
      <w:r>
        <w:rPr>
          <w:rFonts w:ascii="Arial" w:hAnsi="Arial" w:cs="Arial"/>
          <w:bCs/>
          <w:sz w:val="24"/>
          <w:szCs w:val="24"/>
        </w:rPr>
        <w:t xml:space="preserve"> contas contábeis bancárias possuem natureza devedora, e na sua composição </w:t>
      </w:r>
      <w:r w:rsidR="00724D92">
        <w:rPr>
          <w:rFonts w:ascii="Arial" w:hAnsi="Arial" w:cs="Arial"/>
          <w:bCs/>
          <w:sz w:val="24"/>
          <w:szCs w:val="24"/>
        </w:rPr>
        <w:t>contas correntes</w:t>
      </w:r>
      <w:r>
        <w:rPr>
          <w:rFonts w:ascii="Arial" w:hAnsi="Arial" w:cs="Arial"/>
          <w:bCs/>
          <w:sz w:val="24"/>
          <w:szCs w:val="24"/>
        </w:rPr>
        <w:t xml:space="preserve"> do tipo fonte de recurso, de acordo com a codificação definida pelo Tribunal de Contas de Santa Catarina, classificando como recursos do exercício, superávit do exercício anterior e ainda a vinculação específica de cada origem dos recursos, como um determinado programa do FNDE, ou determinado bloco ou componente do SUS, bem como FUNDEB, recursos ordinários entre outros. Essa classificação facilita o controle dos recursos de acordo com sua origem.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Forma de arrecadação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 Município não recebe ou arrecada recursos financeiros da Unidade Administrativa, apenas via instituições bancárias.</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8.</w:t>
      </w:r>
      <w:r w:rsidRPr="00FB41B2">
        <w:rPr>
          <w:rFonts w:ascii="Arial" w:hAnsi="Arial" w:cs="Arial"/>
          <w:b/>
          <w:bCs/>
          <w:color w:val="215868" w:themeColor="accent5" w:themeShade="80"/>
          <w:sz w:val="24"/>
          <w:szCs w:val="24"/>
        </w:rPr>
        <w:t xml:space="preserve"> C</w:t>
      </w:r>
      <w:r w:rsidR="00EF405C" w:rsidRPr="00FB41B2">
        <w:rPr>
          <w:rFonts w:ascii="Arial" w:hAnsi="Arial" w:cs="Arial"/>
          <w:b/>
          <w:bCs/>
          <w:color w:val="215868" w:themeColor="accent5" w:themeShade="80"/>
          <w:sz w:val="24"/>
          <w:szCs w:val="24"/>
        </w:rPr>
        <w:t>réditos a Curto Prazo e a Longo Prazo</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Créditos Tributários a Receber</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 Município, no exercício de sua soberania, tem o poder de exigir tributos de seus cidadãos. É o chamado doutrinamento de poder de instituir e cobrar tributos. O Município atendendo as exigências das Normas Brasileiras de Contabilidade,</w:t>
      </w:r>
      <w:r w:rsidR="00E910C5">
        <w:rPr>
          <w:rFonts w:ascii="Arial" w:hAnsi="Arial" w:cs="Arial"/>
          <w:bCs/>
          <w:sz w:val="24"/>
          <w:szCs w:val="24"/>
        </w:rPr>
        <w:t xml:space="preserve"> </w:t>
      </w:r>
      <w:r>
        <w:rPr>
          <w:rFonts w:ascii="Arial" w:hAnsi="Arial" w:cs="Arial"/>
          <w:bCs/>
          <w:sz w:val="24"/>
          <w:szCs w:val="24"/>
        </w:rPr>
        <w:t xml:space="preserve">reconhece por competência os créditos tributários a receber, instituídos pelo Código Tributário Municipal, com fato gerador já ocorrido.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Os créditos tributários a receber, em 31 de dezembro de 201</w:t>
      </w:r>
      <w:r w:rsidR="00582CA5">
        <w:rPr>
          <w:rFonts w:ascii="Arial" w:hAnsi="Arial" w:cs="Arial"/>
          <w:bCs/>
          <w:sz w:val="24"/>
          <w:szCs w:val="24"/>
        </w:rPr>
        <w:t>9</w:t>
      </w:r>
      <w:r>
        <w:rPr>
          <w:rFonts w:ascii="Arial" w:hAnsi="Arial" w:cs="Arial"/>
          <w:bCs/>
          <w:sz w:val="24"/>
          <w:szCs w:val="24"/>
        </w:rPr>
        <w:t xml:space="preserve">, somaram R$ </w:t>
      </w:r>
      <w:r w:rsidR="00BD1D17">
        <w:rPr>
          <w:rFonts w:ascii="Arial" w:hAnsi="Arial" w:cs="Arial"/>
          <w:bCs/>
          <w:sz w:val="24"/>
          <w:szCs w:val="24"/>
        </w:rPr>
        <w:t>4.989,38.</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bookmarkStart w:id="3" w:name="OLE_LINK3"/>
      <w:bookmarkStart w:id="4" w:name="OLE_LINK2"/>
      <w:bookmarkStart w:id="5" w:name="OLE_LINK1"/>
      <w:r>
        <w:rPr>
          <w:rFonts w:ascii="Arial" w:hAnsi="Arial" w:cs="Arial"/>
          <w:bCs/>
          <w:color w:val="215868" w:themeColor="accent5" w:themeShade="80"/>
          <w:sz w:val="24"/>
          <w:szCs w:val="24"/>
        </w:rPr>
        <w:t>Créditos de Transferência a Receber</w:t>
      </w:r>
    </w:p>
    <w:bookmarkEnd w:id="3"/>
    <w:bookmarkEnd w:id="4"/>
    <w:bookmarkEnd w:id="5"/>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No final do exercício de 2019, o Município possuía R$ </w:t>
      </w:r>
      <w:r w:rsidR="006222B6">
        <w:rPr>
          <w:rFonts w:ascii="Arial" w:hAnsi="Arial" w:cs="Arial"/>
          <w:bCs/>
          <w:sz w:val="24"/>
          <w:szCs w:val="24"/>
        </w:rPr>
        <w:t>421.248,72</w:t>
      </w:r>
      <w:r>
        <w:rPr>
          <w:rFonts w:ascii="Arial" w:hAnsi="Arial" w:cs="Arial"/>
          <w:bCs/>
          <w:sz w:val="24"/>
          <w:szCs w:val="24"/>
        </w:rPr>
        <w:t xml:space="preserve"> referente créditos de convênios assinados junto à União.</w:t>
      </w:r>
    </w:p>
    <w:p w:rsidR="00EF405C" w:rsidRDefault="00EF405C" w:rsidP="00EF405C">
      <w:pPr>
        <w:spacing w:after="0" w:line="240" w:lineRule="auto"/>
        <w:jc w:val="both"/>
        <w:rPr>
          <w:rFonts w:ascii="Arial" w:hAnsi="Arial" w:cs="Arial"/>
          <w:bCs/>
          <w:sz w:val="24"/>
          <w:szCs w:val="24"/>
        </w:rPr>
      </w:pPr>
    </w:p>
    <w:p w:rsidR="00EF405C" w:rsidRPr="00692951" w:rsidRDefault="00EF405C" w:rsidP="00EF405C">
      <w:pPr>
        <w:spacing w:after="0" w:line="240" w:lineRule="auto"/>
        <w:jc w:val="both"/>
        <w:rPr>
          <w:rFonts w:ascii="Arial" w:hAnsi="Arial" w:cs="Arial"/>
          <w:bCs/>
          <w:color w:val="FF0000"/>
          <w:sz w:val="24"/>
          <w:szCs w:val="24"/>
        </w:rPr>
      </w:pPr>
      <w:r>
        <w:rPr>
          <w:rFonts w:ascii="Arial" w:hAnsi="Arial" w:cs="Arial"/>
          <w:bCs/>
          <w:color w:val="215868" w:themeColor="accent5" w:themeShade="80"/>
          <w:sz w:val="24"/>
          <w:szCs w:val="24"/>
        </w:rPr>
        <w:t>Créditos por danos ao patrimônio público no Curto Prazo</w:t>
      </w:r>
    </w:p>
    <w:p w:rsidR="00EF405C" w:rsidRPr="00BD1D17" w:rsidRDefault="00EF405C" w:rsidP="00EF405C">
      <w:pPr>
        <w:autoSpaceDE w:val="0"/>
        <w:autoSpaceDN w:val="0"/>
        <w:adjustRightInd w:val="0"/>
        <w:spacing w:after="0" w:line="240" w:lineRule="auto"/>
        <w:jc w:val="both"/>
        <w:rPr>
          <w:rFonts w:ascii="Arial" w:hAnsi="Arial" w:cs="Arial"/>
          <w:bCs/>
          <w:color w:val="FF0000"/>
          <w:sz w:val="24"/>
          <w:szCs w:val="24"/>
        </w:rPr>
      </w:pPr>
      <w:r w:rsidRPr="00747E93">
        <w:rPr>
          <w:rFonts w:ascii="Arial" w:hAnsi="Arial" w:cs="Arial"/>
          <w:bCs/>
          <w:color w:val="000000" w:themeColor="text1"/>
          <w:sz w:val="24"/>
          <w:szCs w:val="24"/>
        </w:rPr>
        <w:t xml:space="preserve">O valor dos créditos por danos ao patrimônio no montante de R$ 12.758,13 é </w:t>
      </w:r>
      <w:r w:rsidRPr="00E910C5">
        <w:rPr>
          <w:rFonts w:ascii="Arial" w:hAnsi="Arial" w:cs="Arial"/>
          <w:bCs/>
          <w:sz w:val="24"/>
          <w:szCs w:val="24"/>
        </w:rPr>
        <w:t>relativo a reconhecimento processos sobre pagamento de multas de trânsito.</w:t>
      </w:r>
    </w:p>
    <w:p w:rsidR="00EF405C" w:rsidRDefault="00EF405C" w:rsidP="00EF405C">
      <w:pPr>
        <w:autoSpaceDE w:val="0"/>
        <w:autoSpaceDN w:val="0"/>
        <w:adjustRightInd w:val="0"/>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lastRenderedPageBreak/>
        <w:t>Demais créditos e danos ao patrimônio provenientes de créditos no Longo Prazo</w:t>
      </w:r>
    </w:p>
    <w:p w:rsidR="00EF405C" w:rsidRPr="00E910C5"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possui R$ </w:t>
      </w:r>
      <w:r w:rsidR="006222B6">
        <w:rPr>
          <w:rFonts w:ascii="Arial" w:hAnsi="Arial" w:cs="Arial"/>
          <w:bCs/>
          <w:sz w:val="24"/>
          <w:szCs w:val="24"/>
        </w:rPr>
        <w:t>3.772,61</w:t>
      </w:r>
      <w:r>
        <w:rPr>
          <w:rFonts w:ascii="Arial" w:hAnsi="Arial" w:cs="Arial"/>
          <w:bCs/>
          <w:sz w:val="24"/>
          <w:szCs w:val="24"/>
        </w:rPr>
        <w:t xml:space="preserve"> </w:t>
      </w:r>
      <w:r w:rsidRPr="00E910C5">
        <w:rPr>
          <w:rFonts w:ascii="Arial" w:hAnsi="Arial" w:cs="Arial"/>
          <w:bCs/>
          <w:sz w:val="24"/>
          <w:szCs w:val="24"/>
        </w:rPr>
        <w:t>por danos ao patrimônio, tendo em vista o reconhecimento processos sobre pagamento de multas de trânsito.</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diminutivas pagas antecipadamente</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 Município mantém controle e registro das despesas pagas antecipadamente, geralmente despesas com seguros e assinaturas. O saldo a apropriar em 31 de dezembro de 201</w:t>
      </w:r>
      <w:r w:rsidR="00747E93">
        <w:rPr>
          <w:rFonts w:ascii="Arial" w:hAnsi="Arial" w:cs="Arial"/>
          <w:bCs/>
          <w:sz w:val="24"/>
          <w:szCs w:val="24"/>
        </w:rPr>
        <w:t xml:space="preserve">9 </w:t>
      </w:r>
      <w:r>
        <w:rPr>
          <w:rFonts w:ascii="Arial" w:hAnsi="Arial" w:cs="Arial"/>
          <w:bCs/>
          <w:sz w:val="24"/>
          <w:szCs w:val="24"/>
        </w:rPr>
        <w:t xml:space="preserve">é de R$ </w:t>
      </w:r>
      <w:r w:rsidR="00747E93">
        <w:rPr>
          <w:rFonts w:ascii="Arial" w:hAnsi="Arial" w:cs="Arial"/>
          <w:bCs/>
          <w:sz w:val="24"/>
          <w:szCs w:val="24"/>
        </w:rPr>
        <w:t>44.124,33</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Dívida ativa – Ativo Realizável a Longo Prazo</w:t>
      </w:r>
    </w:p>
    <w:p w:rsidR="00EF405C" w:rsidRDefault="00EB115B" w:rsidP="00EF405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00EF405C">
        <w:rPr>
          <w:rFonts w:ascii="Arial" w:hAnsi="Arial" w:cs="Arial"/>
          <w:bCs/>
          <w:sz w:val="24"/>
          <w:szCs w:val="24"/>
        </w:rPr>
        <w:t xml:space="preserve"> Município</w:t>
      </w:r>
      <w:r w:rsidR="00EF405C">
        <w:rPr>
          <w:rFonts w:ascii="Arial" w:hAnsi="Arial" w:cs="Arial"/>
          <w:sz w:val="24"/>
          <w:szCs w:val="24"/>
        </w:rPr>
        <w:t xml:space="preserve"> </w:t>
      </w:r>
      <w:r>
        <w:rPr>
          <w:rFonts w:ascii="Arial" w:hAnsi="Arial" w:cs="Arial"/>
          <w:bCs/>
          <w:sz w:val="24"/>
          <w:szCs w:val="24"/>
        </w:rPr>
        <w:t>mantém</w:t>
      </w:r>
      <w:r w:rsidR="00EF405C">
        <w:rPr>
          <w:rFonts w:ascii="Arial" w:hAnsi="Arial" w:cs="Arial"/>
          <w:bCs/>
          <w:sz w:val="24"/>
          <w:szCs w:val="24"/>
        </w:rPr>
        <w:t xml:space="preserve"> a dívida ativa registrada apenas em longo prazo.</w:t>
      </w:r>
    </w:p>
    <w:p w:rsidR="00EF405C" w:rsidRDefault="00EF405C" w:rsidP="00EF405C">
      <w:pPr>
        <w:autoSpaceDE w:val="0"/>
        <w:autoSpaceDN w:val="0"/>
        <w:adjustRightInd w:val="0"/>
        <w:spacing w:after="0" w:line="240" w:lineRule="auto"/>
        <w:jc w:val="both"/>
        <w:rPr>
          <w:rFonts w:ascii="Arial" w:hAnsi="Arial" w:cs="Arial"/>
        </w:rPr>
      </w:pPr>
    </w:p>
    <w:p w:rsidR="00607491" w:rsidRDefault="00607491" w:rsidP="00607491">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Pr>
          <w:rFonts w:ascii="Arial" w:hAnsi="Arial" w:cs="Arial"/>
          <w:bCs/>
          <w:sz w:val="24"/>
          <w:szCs w:val="24"/>
        </w:rPr>
        <w:t>58,52</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Pr>
          <w:rFonts w:ascii="Arial" w:hAnsi="Arial" w:cs="Arial"/>
          <w:bCs/>
          <w:sz w:val="24"/>
          <w:szCs w:val="24"/>
        </w:rPr>
        <w:t>27,46% a dívida ativa</w:t>
      </w:r>
      <w:r w:rsidRPr="00116D9A">
        <w:rPr>
          <w:rFonts w:ascii="Arial" w:hAnsi="Arial" w:cs="Arial"/>
          <w:bCs/>
          <w:sz w:val="24"/>
          <w:szCs w:val="24"/>
        </w:rPr>
        <w:t xml:space="preserve"> tributária. As perdas representam </w:t>
      </w:r>
      <w:r>
        <w:rPr>
          <w:rFonts w:ascii="Arial" w:hAnsi="Arial" w:cs="Arial"/>
          <w:bCs/>
          <w:sz w:val="24"/>
          <w:szCs w:val="24"/>
        </w:rPr>
        <w:t>14,02</w:t>
      </w:r>
      <w:r w:rsidRPr="00116D9A">
        <w:rPr>
          <w:rFonts w:ascii="Arial" w:hAnsi="Arial" w:cs="Arial"/>
          <w:bCs/>
          <w:sz w:val="24"/>
          <w:szCs w:val="24"/>
        </w:rPr>
        <w:t>% do total de créditos.</w:t>
      </w:r>
      <w:r w:rsidRPr="007C5270">
        <w:rPr>
          <w:rFonts w:ascii="Arial" w:hAnsi="Arial" w:cs="Arial"/>
          <w:bCs/>
          <w:sz w:val="24"/>
          <w:szCs w:val="24"/>
        </w:rPr>
        <w:t xml:space="preserve"> </w:t>
      </w:r>
    </w:p>
    <w:p w:rsidR="00EF405C" w:rsidRDefault="00EF405C" w:rsidP="00EF405C">
      <w:pPr>
        <w:autoSpaceDE w:val="0"/>
        <w:autoSpaceDN w:val="0"/>
        <w:adjustRightInd w:val="0"/>
        <w:spacing w:after="0" w:line="240" w:lineRule="auto"/>
        <w:jc w:val="both"/>
        <w:rPr>
          <w:rFonts w:ascii="Arial" w:hAnsi="Arial" w:cs="Arial"/>
          <w:bCs/>
          <w:sz w:val="24"/>
          <w:szCs w:val="24"/>
        </w:rPr>
      </w:pPr>
    </w:p>
    <w:p w:rsidR="00EF405C" w:rsidRPr="00BD1D17" w:rsidRDefault="00EF405C" w:rsidP="00EF405C">
      <w:pPr>
        <w:autoSpaceDE w:val="0"/>
        <w:autoSpaceDN w:val="0"/>
        <w:adjustRightInd w:val="0"/>
        <w:spacing w:after="0" w:line="240" w:lineRule="auto"/>
        <w:jc w:val="both"/>
        <w:rPr>
          <w:rFonts w:ascii="Arial" w:hAnsi="Arial" w:cs="Arial"/>
          <w:bCs/>
          <w:sz w:val="24"/>
          <w:szCs w:val="24"/>
        </w:rPr>
      </w:pPr>
      <w:r w:rsidRPr="00BD1D17">
        <w:rPr>
          <w:rFonts w:ascii="Arial" w:hAnsi="Arial" w:cs="Arial"/>
          <w:bCs/>
          <w:sz w:val="24"/>
          <w:szCs w:val="24"/>
        </w:rPr>
        <w:t>O cálculo da perda da dívida ativa foi realizado tomando por base o comportamento da dívida ativa, pela sua inscrição e recebimento nos últimos 3 exercícios.</w:t>
      </w:r>
    </w:p>
    <w:p w:rsidR="00EF405C" w:rsidRDefault="00EF405C" w:rsidP="00EF405C">
      <w:pPr>
        <w:autoSpaceDE w:val="0"/>
        <w:autoSpaceDN w:val="0"/>
        <w:adjustRightInd w:val="0"/>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Investimento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possui R$ 3.081,84 em investimentos que se referem a ações da TELESC. </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9.</w:t>
      </w:r>
      <w:r w:rsidR="00EF405C" w:rsidRPr="00FB41B2">
        <w:rPr>
          <w:rFonts w:ascii="Arial" w:hAnsi="Arial" w:cs="Arial"/>
          <w:b/>
          <w:bCs/>
          <w:color w:val="215868" w:themeColor="accent5" w:themeShade="80"/>
          <w:sz w:val="24"/>
          <w:szCs w:val="24"/>
        </w:rPr>
        <w:t>Investimentos RPPS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O município não possui investimos RPPS.</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10.</w:t>
      </w:r>
      <w:r w:rsidR="00EF405C" w:rsidRPr="00FB41B2">
        <w:rPr>
          <w:rFonts w:ascii="Arial" w:hAnsi="Arial" w:cs="Arial"/>
          <w:b/>
          <w:bCs/>
          <w:color w:val="215868" w:themeColor="accent5" w:themeShade="80"/>
          <w:sz w:val="24"/>
          <w:szCs w:val="24"/>
        </w:rPr>
        <w:t>Imobilizado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patrimônio imobilizado do Município somou </w:t>
      </w:r>
      <w:r w:rsidR="00D2152F">
        <w:rPr>
          <w:rFonts w:ascii="Arial" w:hAnsi="Arial" w:cs="Arial"/>
          <w:bCs/>
          <w:sz w:val="24"/>
          <w:szCs w:val="24"/>
        </w:rPr>
        <w:t>19.464.801,27</w:t>
      </w:r>
      <w:r>
        <w:rPr>
          <w:rFonts w:ascii="Arial" w:hAnsi="Arial" w:cs="Arial"/>
          <w:bCs/>
          <w:sz w:val="24"/>
          <w:szCs w:val="24"/>
        </w:rPr>
        <w:t>, já reduzido sua depreciação. Os bens mó</w:t>
      </w:r>
      <w:r w:rsidR="00D2152F">
        <w:rPr>
          <w:rFonts w:ascii="Arial" w:hAnsi="Arial" w:cs="Arial"/>
          <w:bCs/>
          <w:sz w:val="24"/>
          <w:szCs w:val="24"/>
        </w:rPr>
        <w:t>veis representam R$ 6.435.677,</w:t>
      </w:r>
      <w:r w:rsidR="005346DD">
        <w:rPr>
          <w:rFonts w:ascii="Arial" w:hAnsi="Arial" w:cs="Arial"/>
          <w:bCs/>
          <w:sz w:val="24"/>
          <w:szCs w:val="24"/>
        </w:rPr>
        <w:t>49</w:t>
      </w:r>
      <w:r>
        <w:rPr>
          <w:rFonts w:ascii="Arial" w:hAnsi="Arial" w:cs="Arial"/>
          <w:bCs/>
          <w:sz w:val="24"/>
          <w:szCs w:val="24"/>
        </w:rPr>
        <w:t xml:space="preserve"> e os imóveis R$ </w:t>
      </w:r>
      <w:r w:rsidR="0003510F">
        <w:rPr>
          <w:rFonts w:ascii="Arial" w:hAnsi="Arial" w:cs="Arial"/>
          <w:bCs/>
          <w:sz w:val="24"/>
          <w:szCs w:val="24"/>
        </w:rPr>
        <w:t>13.109.325,93</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F51E08" w:rsidRDefault="00F51E08" w:rsidP="00F51E08">
      <w:pPr>
        <w:spacing w:after="0" w:line="240" w:lineRule="auto"/>
        <w:jc w:val="both"/>
        <w:rPr>
          <w:rFonts w:ascii="Arial" w:hAnsi="Arial" w:cs="Arial"/>
          <w:sz w:val="24"/>
          <w:szCs w:val="24"/>
        </w:rPr>
      </w:pPr>
      <w:r>
        <w:rPr>
          <w:rFonts w:ascii="Arial" w:hAnsi="Arial" w:cs="Arial"/>
          <w:bCs/>
          <w:sz w:val="24"/>
          <w:szCs w:val="24"/>
        </w:rPr>
        <w:t>Esses valores estão atualizados, pois recentemente, com data de corte 01 de dezembro de 2019, foi realizado atualização do patrimônio imobilizado, desde conferência física até atualização dos valores dos bens, para que</w:t>
      </w:r>
      <w:r w:rsidRPr="003D27D6">
        <w:rPr>
          <w:rFonts w:ascii="Arial" w:hAnsi="Arial" w:cs="Arial"/>
          <w:sz w:val="24"/>
          <w:szCs w:val="24"/>
        </w:rPr>
        <w:t xml:space="preserve"> </w:t>
      </w:r>
      <w:r>
        <w:rPr>
          <w:rFonts w:ascii="Arial" w:hAnsi="Arial" w:cs="Arial"/>
          <w:sz w:val="24"/>
          <w:szCs w:val="24"/>
        </w:rPr>
        <w:t xml:space="preserve">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w:t>
      </w:r>
    </w:p>
    <w:p w:rsidR="00F51E08" w:rsidRDefault="00F51E08" w:rsidP="00F51E08">
      <w:pPr>
        <w:spacing w:after="0" w:line="240" w:lineRule="auto"/>
        <w:jc w:val="both"/>
        <w:rPr>
          <w:rFonts w:ascii="Arial" w:hAnsi="Arial" w:cs="Arial"/>
          <w:sz w:val="24"/>
          <w:szCs w:val="24"/>
        </w:rPr>
      </w:pPr>
    </w:p>
    <w:p w:rsidR="00EF405C" w:rsidRDefault="00EF405C" w:rsidP="00F51E08">
      <w:pPr>
        <w:spacing w:after="0" w:line="240" w:lineRule="auto"/>
        <w:jc w:val="both"/>
        <w:rPr>
          <w:rFonts w:ascii="Arial" w:hAnsi="Arial" w:cs="Arial"/>
          <w:bCs/>
          <w:sz w:val="24"/>
          <w:szCs w:val="24"/>
        </w:rPr>
      </w:pPr>
      <w:r>
        <w:rPr>
          <w:rFonts w:ascii="Arial" w:hAnsi="Arial" w:cs="Arial"/>
          <w:bCs/>
          <w:sz w:val="24"/>
          <w:szCs w:val="24"/>
        </w:rPr>
        <w:t>O valor dos bens de uso comum do povo é de R$ 1.</w:t>
      </w:r>
      <w:r w:rsidR="00C54DB5">
        <w:rPr>
          <w:rFonts w:ascii="Arial" w:hAnsi="Arial" w:cs="Arial"/>
          <w:bCs/>
          <w:sz w:val="24"/>
          <w:szCs w:val="24"/>
        </w:rPr>
        <w:t>407.427,76</w:t>
      </w:r>
      <w:r>
        <w:rPr>
          <w:rFonts w:ascii="Arial" w:hAnsi="Arial" w:cs="Arial"/>
          <w:bCs/>
          <w:sz w:val="24"/>
          <w:szCs w:val="24"/>
        </w:rPr>
        <w:t>, e estão somados junto aos imóveis. O reconhecimento dos bens de uso comum é realizado de forma gradativa, pela sua construção, sendo exemplos ruas, pontes, sistema de esgoto e/ou abastecimento de água, e ainda, outros bens de uso comum.</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A depreciação traz o saldo acumulado de R$ </w:t>
      </w:r>
      <w:r w:rsidR="00C54DB5">
        <w:rPr>
          <w:rFonts w:ascii="Arial" w:hAnsi="Arial" w:cs="Arial"/>
          <w:bCs/>
          <w:sz w:val="24"/>
          <w:szCs w:val="24"/>
        </w:rPr>
        <w:t>80.202,15</w:t>
      </w:r>
      <w:r>
        <w:rPr>
          <w:rFonts w:ascii="Arial" w:hAnsi="Arial" w:cs="Arial"/>
          <w:bCs/>
          <w:sz w:val="24"/>
          <w:szCs w:val="24"/>
        </w:rPr>
        <w:t xml:space="preserve">. </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O município possui R$ </w:t>
      </w:r>
      <w:r w:rsidR="00E842E9">
        <w:rPr>
          <w:rFonts w:ascii="Arial" w:hAnsi="Arial" w:cs="Arial"/>
          <w:bCs/>
          <w:sz w:val="24"/>
          <w:szCs w:val="24"/>
        </w:rPr>
        <w:t>1.336.988,98</w:t>
      </w:r>
      <w:r>
        <w:rPr>
          <w:rFonts w:ascii="Arial" w:hAnsi="Arial" w:cs="Arial"/>
          <w:bCs/>
          <w:sz w:val="24"/>
          <w:szCs w:val="24"/>
        </w:rPr>
        <w:t xml:space="preserve"> em obras em andamento.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lastRenderedPageBreak/>
        <w:t>O município mantém controle e é normatizado a vida útil, valor residual, percentual de depreciação dos bens. O controle é realizado pelo servidor responsável e dirigido pela comissão do patrimônio. As contas patrimoniais mantem coerência com as contas contábeis conforme plano de contas definido pelo TCE/SC.</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11.</w:t>
      </w:r>
      <w:r w:rsidR="00EF405C" w:rsidRPr="00FB41B2">
        <w:rPr>
          <w:rFonts w:ascii="Arial" w:hAnsi="Arial" w:cs="Arial"/>
          <w:b/>
          <w:bCs/>
          <w:color w:val="215868" w:themeColor="accent5" w:themeShade="80"/>
          <w:sz w:val="24"/>
          <w:szCs w:val="24"/>
        </w:rPr>
        <w:t>Intangível</w:t>
      </w:r>
    </w:p>
    <w:p w:rsidR="00EF405C" w:rsidRDefault="00EF405C" w:rsidP="00EF405C">
      <w:pPr>
        <w:spacing w:after="0" w:line="240" w:lineRule="auto"/>
        <w:rPr>
          <w:rFonts w:ascii="Arial" w:hAnsi="Arial" w:cs="Arial"/>
          <w:bCs/>
          <w:sz w:val="24"/>
          <w:szCs w:val="24"/>
        </w:rPr>
      </w:pPr>
      <w:r>
        <w:rPr>
          <w:rFonts w:ascii="Arial" w:hAnsi="Arial" w:cs="Arial"/>
          <w:bCs/>
          <w:sz w:val="24"/>
          <w:szCs w:val="24"/>
        </w:rPr>
        <w:t>O município não possuía intangíveis em 31 de dezembro de 201</w:t>
      </w:r>
      <w:r w:rsidR="001F74AA">
        <w:rPr>
          <w:rFonts w:ascii="Arial" w:hAnsi="Arial" w:cs="Arial"/>
          <w:bCs/>
          <w:sz w:val="24"/>
          <w:szCs w:val="24"/>
        </w:rPr>
        <w:t>9</w:t>
      </w:r>
      <w:r>
        <w:rPr>
          <w:rFonts w:ascii="Arial" w:hAnsi="Arial" w:cs="Arial"/>
          <w:bCs/>
          <w:sz w:val="24"/>
          <w:szCs w:val="24"/>
        </w:rPr>
        <w:t>.</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12.</w:t>
      </w:r>
      <w:r w:rsidR="00EF405C" w:rsidRPr="00FB41B2">
        <w:rPr>
          <w:rFonts w:ascii="Arial" w:hAnsi="Arial" w:cs="Arial"/>
          <w:b/>
          <w:bCs/>
          <w:color w:val="215868" w:themeColor="accent5" w:themeShade="80"/>
          <w:sz w:val="24"/>
          <w:szCs w:val="24"/>
        </w:rPr>
        <w:t>Fornecedores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Na conta “fornecedores” são registrados por meio de controle pelo mecanismo de contas correntes, todos os fornecedores e aquisições e contratações realizadas. A conta “fornecedores” é uma conta contábil do passivo e registra as obrigações do município para com esses. Algumas obrigações que não passaram por todos os estágios da despesa são transferidas/inscritas em restos a pagar e/ou fornecedores de exercícios anteriores.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Em 31 de dezembro de 2019, o saldo da conta fornecedores foi de R$ 2.</w:t>
      </w:r>
      <w:r w:rsidR="005955A3">
        <w:rPr>
          <w:rFonts w:ascii="Arial" w:hAnsi="Arial" w:cs="Arial"/>
          <w:bCs/>
          <w:sz w:val="24"/>
          <w:szCs w:val="24"/>
        </w:rPr>
        <w:t>418,37</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13.</w:t>
      </w:r>
      <w:r w:rsidR="00EF405C">
        <w:rPr>
          <w:rFonts w:ascii="Arial" w:hAnsi="Arial" w:cs="Arial"/>
          <w:b/>
          <w:bCs/>
          <w:color w:val="215868" w:themeColor="accent5" w:themeShade="80"/>
          <w:sz w:val="24"/>
          <w:szCs w:val="24"/>
        </w:rPr>
        <w:t>Obrigações Trabalhistas, Previdenciárias e Assistenciais a Curto Prazo e a Longo Prazo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As Obrigações Trabalhistas, Previdenciárias e Assistenciais a Curto Prazo, do Município, somou R$ </w:t>
      </w:r>
      <w:r w:rsidR="002D761B">
        <w:rPr>
          <w:rFonts w:ascii="Arial" w:hAnsi="Arial" w:cs="Arial"/>
          <w:bCs/>
          <w:sz w:val="24"/>
          <w:szCs w:val="24"/>
        </w:rPr>
        <w:t>1.001.543,86</w:t>
      </w:r>
      <w:r>
        <w:rPr>
          <w:rFonts w:ascii="Arial" w:hAnsi="Arial" w:cs="Arial"/>
          <w:bCs/>
          <w:sz w:val="24"/>
          <w:szCs w:val="24"/>
        </w:rPr>
        <w:t xml:space="preserve"> no final do exercício de 201</w:t>
      </w:r>
      <w:r w:rsidR="002D761B">
        <w:rPr>
          <w:rFonts w:ascii="Arial" w:hAnsi="Arial" w:cs="Arial"/>
          <w:bCs/>
          <w:sz w:val="24"/>
          <w:szCs w:val="24"/>
        </w:rPr>
        <w:t>9</w:t>
      </w:r>
      <w:r>
        <w:rPr>
          <w:rFonts w:ascii="Arial" w:hAnsi="Arial" w:cs="Arial"/>
          <w:bCs/>
          <w:sz w:val="24"/>
          <w:szCs w:val="24"/>
        </w:rPr>
        <w:t>, que refletem o valor das férias reconhecidas por competência</w:t>
      </w:r>
      <w:r w:rsidR="00EB115B">
        <w:rPr>
          <w:rFonts w:ascii="Arial" w:hAnsi="Arial" w:cs="Arial"/>
          <w:bCs/>
          <w:sz w:val="24"/>
          <w:szCs w:val="24"/>
        </w:rPr>
        <w:t xml:space="preserve"> e encargos sociais</w:t>
      </w:r>
      <w:r>
        <w:rPr>
          <w:rFonts w:ascii="Arial" w:hAnsi="Arial" w:cs="Arial"/>
          <w:bCs/>
          <w:sz w:val="24"/>
          <w:szCs w:val="24"/>
        </w:rPr>
        <w:t>. O reconhecimento de despesas por competência, é exigência das NBCASP, e necessária para a correta demonstração do patrimônio do Município.</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O município não possuía Obrigações Trabalhistas, Previdenciárias e Assistenciais a Longo Prazo em 31 de dezembro de 2019.</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14.</w:t>
      </w:r>
      <w:r w:rsidR="00EF405C">
        <w:rPr>
          <w:rFonts w:ascii="Arial" w:hAnsi="Arial" w:cs="Arial"/>
          <w:b/>
          <w:bCs/>
          <w:color w:val="215868" w:themeColor="accent5" w:themeShade="80"/>
          <w:sz w:val="24"/>
          <w:szCs w:val="24"/>
        </w:rPr>
        <w:t xml:space="preserve"> Provisões a Curto Prazo e a Longo Prazo</w:t>
      </w:r>
    </w:p>
    <w:p w:rsidR="00EB115B" w:rsidRPr="00116D9A" w:rsidRDefault="00EB115B" w:rsidP="00EB115B">
      <w:pPr>
        <w:spacing w:after="0" w:line="240" w:lineRule="auto"/>
        <w:jc w:val="both"/>
        <w:rPr>
          <w:rFonts w:ascii="Arial" w:hAnsi="Arial" w:cs="Arial"/>
          <w:bCs/>
          <w:sz w:val="24"/>
          <w:szCs w:val="24"/>
        </w:rPr>
      </w:pPr>
      <w:r>
        <w:rPr>
          <w:rFonts w:ascii="Arial" w:hAnsi="Arial" w:cs="Arial"/>
          <w:bCs/>
          <w:sz w:val="24"/>
          <w:szCs w:val="24"/>
        </w:rPr>
        <w:t>As</w:t>
      </w:r>
      <w:r w:rsidRPr="00116D9A">
        <w:rPr>
          <w:rFonts w:ascii="Arial" w:hAnsi="Arial" w:cs="Arial"/>
          <w:bCs/>
          <w:sz w:val="24"/>
          <w:szCs w:val="24"/>
        </w:rPr>
        <w:t xml:space="preserve"> demandas judiciais </w:t>
      </w:r>
      <w:r>
        <w:rPr>
          <w:rFonts w:ascii="Arial" w:hAnsi="Arial" w:cs="Arial"/>
          <w:bCs/>
          <w:sz w:val="24"/>
          <w:szCs w:val="24"/>
        </w:rPr>
        <w:t>são controladas pelo setor jurídico da entidade. O montante de R$ 830.663,74, em processos judiciais estão reconhecidos como passivos contingentes.</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EF405C">
        <w:rPr>
          <w:rFonts w:ascii="Arial" w:hAnsi="Arial" w:cs="Arial"/>
          <w:b/>
          <w:bCs/>
          <w:color w:val="215868" w:themeColor="accent5" w:themeShade="80"/>
          <w:sz w:val="24"/>
          <w:szCs w:val="24"/>
        </w:rPr>
        <w:t xml:space="preserve"> Demais elementos patrimoniais, quando relevantes.</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Obrigações Fiscais a curto prazo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Nesta conta contábil está registrado a obrigação do município junta a União relativa ao PASEP. O saldo em 31 de dezembro de 201</w:t>
      </w:r>
      <w:r w:rsidR="000F77E9">
        <w:rPr>
          <w:rFonts w:ascii="Arial" w:hAnsi="Arial" w:cs="Arial"/>
          <w:bCs/>
          <w:sz w:val="24"/>
          <w:szCs w:val="24"/>
        </w:rPr>
        <w:t>9</w:t>
      </w:r>
      <w:r>
        <w:rPr>
          <w:rFonts w:ascii="Arial" w:hAnsi="Arial" w:cs="Arial"/>
          <w:bCs/>
          <w:sz w:val="24"/>
          <w:szCs w:val="24"/>
        </w:rPr>
        <w:t xml:space="preserve"> refere-se à competência dezembro de 201</w:t>
      </w:r>
      <w:r w:rsidR="000F77E9">
        <w:rPr>
          <w:rFonts w:ascii="Arial" w:hAnsi="Arial" w:cs="Arial"/>
          <w:bCs/>
          <w:sz w:val="24"/>
          <w:szCs w:val="24"/>
        </w:rPr>
        <w:t>9</w:t>
      </w:r>
      <w:r>
        <w:rPr>
          <w:rFonts w:ascii="Arial" w:hAnsi="Arial" w:cs="Arial"/>
          <w:bCs/>
          <w:sz w:val="24"/>
          <w:szCs w:val="24"/>
        </w:rPr>
        <w:t xml:space="preserve"> com vencimento para janeiro de 20</w:t>
      </w:r>
      <w:r w:rsidR="000F77E9">
        <w:rPr>
          <w:rFonts w:ascii="Arial" w:hAnsi="Arial" w:cs="Arial"/>
          <w:bCs/>
          <w:sz w:val="24"/>
          <w:szCs w:val="24"/>
        </w:rPr>
        <w:t>20</w:t>
      </w:r>
      <w:r>
        <w:rPr>
          <w:rFonts w:ascii="Arial" w:hAnsi="Arial" w:cs="Arial"/>
          <w:bCs/>
          <w:sz w:val="24"/>
          <w:szCs w:val="24"/>
        </w:rPr>
        <w:t>.</w:t>
      </w:r>
    </w:p>
    <w:p w:rsidR="00EF405C" w:rsidRDefault="00EF405C" w:rsidP="00EF405C">
      <w:pPr>
        <w:spacing w:after="0" w:line="240" w:lineRule="auto"/>
        <w:jc w:val="both"/>
        <w:rPr>
          <w:rFonts w:ascii="Arial" w:hAnsi="Arial" w:cs="Arial"/>
          <w:bCs/>
          <w:color w:val="215868" w:themeColor="accent5" w:themeShade="80"/>
          <w:sz w:val="24"/>
          <w:szCs w:val="24"/>
        </w:rPr>
      </w:pPr>
    </w:p>
    <w:p w:rsidR="00D92801" w:rsidRDefault="00D92801" w:rsidP="00EF405C">
      <w:pPr>
        <w:spacing w:after="0" w:line="240" w:lineRule="auto"/>
        <w:jc w:val="both"/>
        <w:rPr>
          <w:rFonts w:ascii="Arial" w:hAnsi="Arial" w:cs="Arial"/>
          <w:bCs/>
          <w:color w:val="215868" w:themeColor="accent5" w:themeShade="80"/>
          <w:sz w:val="24"/>
          <w:szCs w:val="24"/>
        </w:rPr>
      </w:pPr>
    </w:p>
    <w:p w:rsidR="00D92801" w:rsidRDefault="00D92801"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Patrimônio Líquido</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O patrimônio líquido acumulado representa o valor de R$ </w:t>
      </w:r>
      <w:r w:rsidR="00716BD6">
        <w:rPr>
          <w:rFonts w:ascii="Arial" w:hAnsi="Arial" w:cs="Arial"/>
          <w:bCs/>
          <w:sz w:val="24"/>
          <w:szCs w:val="24"/>
        </w:rPr>
        <w:t>21.424.743,99</w:t>
      </w:r>
      <w:r>
        <w:rPr>
          <w:rFonts w:ascii="Arial" w:hAnsi="Arial" w:cs="Arial"/>
          <w:bCs/>
          <w:sz w:val="24"/>
          <w:szCs w:val="24"/>
        </w:rPr>
        <w:t xml:space="preserve"> e refere-se aos resultados acumulados desde a criação do Município. O patrimônio líquido recebe valores no encerramento do exercício referente variações patrimoniais aumentativas e diminutivas e as transferências financeiras concedidas e recebidas, envolvendo operações no nível de consolidação, INTER OFSS União, INTER OFSS Estado e INTER OFSS Município.</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No exercício de 201</w:t>
      </w:r>
      <w:r w:rsidR="00716BD6">
        <w:rPr>
          <w:rFonts w:ascii="Arial" w:hAnsi="Arial" w:cs="Arial"/>
          <w:bCs/>
          <w:sz w:val="24"/>
          <w:szCs w:val="24"/>
        </w:rPr>
        <w:t>9</w:t>
      </w:r>
      <w:r>
        <w:rPr>
          <w:rFonts w:ascii="Arial" w:hAnsi="Arial" w:cs="Arial"/>
          <w:bCs/>
          <w:sz w:val="24"/>
          <w:szCs w:val="24"/>
        </w:rPr>
        <w:t xml:space="preserve"> houveram registros na conta Ajustes de Exercícios Anteriores</w:t>
      </w:r>
      <w:r w:rsidR="00716BD6">
        <w:rPr>
          <w:rFonts w:ascii="Arial" w:hAnsi="Arial" w:cs="Arial"/>
          <w:bCs/>
          <w:sz w:val="24"/>
          <w:szCs w:val="24"/>
        </w:rPr>
        <w:t xml:space="preserve"> no montante de R$ 2.762.785,88 referente a reavaliação patrimonial</w:t>
      </w:r>
      <w:r>
        <w:rPr>
          <w:rFonts w:ascii="Arial" w:hAnsi="Arial" w:cs="Arial"/>
          <w:bCs/>
          <w:sz w:val="24"/>
          <w:szCs w:val="24"/>
        </w:rPr>
        <w:t>.</w:t>
      </w:r>
    </w:p>
    <w:p w:rsidR="00EF405C" w:rsidRDefault="00EF405C" w:rsidP="00EF405C">
      <w:pPr>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16.</w:t>
      </w:r>
      <w:r w:rsidR="00EF405C">
        <w:rPr>
          <w:rFonts w:ascii="Arial" w:hAnsi="Arial" w:cs="Arial"/>
          <w:b/>
          <w:bCs/>
          <w:color w:val="215868" w:themeColor="accent5" w:themeShade="80"/>
          <w:sz w:val="24"/>
          <w:szCs w:val="24"/>
        </w:rPr>
        <w:t xml:space="preserve"> Redução ao valor recuperável no ativo imobilizado</w:t>
      </w:r>
    </w:p>
    <w:p w:rsidR="00EF405C" w:rsidRDefault="00EF405C" w:rsidP="00EF405C">
      <w:pPr>
        <w:spacing w:after="0" w:line="240" w:lineRule="auto"/>
        <w:rPr>
          <w:rFonts w:ascii="Arial" w:hAnsi="Arial" w:cs="Arial"/>
          <w:bCs/>
          <w:sz w:val="24"/>
          <w:szCs w:val="24"/>
        </w:rPr>
      </w:pPr>
      <w:r>
        <w:rPr>
          <w:rFonts w:ascii="Arial" w:hAnsi="Arial" w:cs="Arial"/>
          <w:bCs/>
          <w:sz w:val="24"/>
          <w:szCs w:val="24"/>
        </w:rPr>
        <w:t>Não houve redução ao valor recuperável no ativo imobilizado, no exercício de 201</w:t>
      </w:r>
      <w:r w:rsidR="00FE216D">
        <w:rPr>
          <w:rFonts w:ascii="Arial" w:hAnsi="Arial" w:cs="Arial"/>
          <w:bCs/>
          <w:sz w:val="24"/>
          <w:szCs w:val="24"/>
        </w:rPr>
        <w:t>9</w:t>
      </w:r>
      <w:r>
        <w:rPr>
          <w:rFonts w:ascii="Arial" w:hAnsi="Arial" w:cs="Arial"/>
          <w:bCs/>
          <w:sz w:val="24"/>
          <w:szCs w:val="24"/>
        </w:rPr>
        <w:t>.</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EF405C">
        <w:rPr>
          <w:rFonts w:ascii="Arial" w:hAnsi="Arial" w:cs="Arial"/>
          <w:b/>
          <w:bCs/>
          <w:color w:val="215868" w:themeColor="accent5" w:themeShade="80"/>
          <w:sz w:val="24"/>
          <w:szCs w:val="24"/>
        </w:rPr>
        <w:t xml:space="preserve"> Baixas de investimento</w:t>
      </w:r>
    </w:p>
    <w:p w:rsidR="00EF405C" w:rsidRDefault="00EF405C" w:rsidP="00EF405C">
      <w:pPr>
        <w:spacing w:after="0" w:line="240" w:lineRule="auto"/>
        <w:rPr>
          <w:rFonts w:ascii="Arial" w:hAnsi="Arial" w:cs="Arial"/>
          <w:bCs/>
          <w:sz w:val="24"/>
          <w:szCs w:val="24"/>
        </w:rPr>
      </w:pPr>
      <w:r>
        <w:rPr>
          <w:rFonts w:ascii="Arial" w:hAnsi="Arial" w:cs="Arial"/>
          <w:bCs/>
          <w:sz w:val="24"/>
          <w:szCs w:val="24"/>
        </w:rPr>
        <w:t>Não houve baixa de investimentos, no exercício de 201</w:t>
      </w:r>
      <w:r w:rsidR="00FE216D">
        <w:rPr>
          <w:rFonts w:ascii="Arial" w:hAnsi="Arial" w:cs="Arial"/>
          <w:bCs/>
          <w:sz w:val="24"/>
          <w:szCs w:val="24"/>
        </w:rPr>
        <w:t>9</w:t>
      </w:r>
      <w:r>
        <w:rPr>
          <w:rFonts w:ascii="Arial" w:hAnsi="Arial" w:cs="Arial"/>
          <w:bCs/>
          <w:sz w:val="24"/>
          <w:szCs w:val="24"/>
        </w:rPr>
        <w:t>.</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18.</w:t>
      </w:r>
      <w:r w:rsidR="00EF405C">
        <w:rPr>
          <w:rFonts w:ascii="Arial" w:hAnsi="Arial" w:cs="Arial"/>
          <w:b/>
          <w:bCs/>
          <w:color w:val="215868" w:themeColor="accent5" w:themeShade="80"/>
          <w:sz w:val="24"/>
          <w:szCs w:val="24"/>
        </w:rPr>
        <w:t xml:space="preserve"> Constituição ou reversão de provisões.</w:t>
      </w:r>
    </w:p>
    <w:p w:rsidR="00EB115B" w:rsidRPr="00116D9A" w:rsidRDefault="00EB115B" w:rsidP="00EB115B">
      <w:pPr>
        <w:spacing w:after="0" w:line="240" w:lineRule="auto"/>
        <w:rPr>
          <w:rFonts w:ascii="Arial" w:hAnsi="Arial" w:cs="Arial"/>
          <w:bCs/>
          <w:sz w:val="24"/>
          <w:szCs w:val="24"/>
        </w:rPr>
      </w:pPr>
      <w:r w:rsidRPr="00116D9A">
        <w:rPr>
          <w:rFonts w:ascii="Arial" w:hAnsi="Arial" w:cs="Arial"/>
          <w:bCs/>
          <w:sz w:val="24"/>
          <w:szCs w:val="24"/>
        </w:rPr>
        <w:t>Não houve</w:t>
      </w:r>
      <w:r>
        <w:rPr>
          <w:rFonts w:ascii="Arial" w:hAnsi="Arial" w:cs="Arial"/>
          <w:bCs/>
          <w:sz w:val="24"/>
          <w:szCs w:val="24"/>
        </w:rPr>
        <w:t xml:space="preserve"> constituição e</w:t>
      </w:r>
      <w:r w:rsidRPr="00116D9A">
        <w:rPr>
          <w:rFonts w:ascii="Arial" w:hAnsi="Arial" w:cs="Arial"/>
          <w:bCs/>
          <w:sz w:val="24"/>
          <w:szCs w:val="24"/>
        </w:rPr>
        <w:t xml:space="preserve"> reversão de provisões em 201</w:t>
      </w:r>
      <w:r>
        <w:rPr>
          <w:rFonts w:ascii="Arial" w:hAnsi="Arial" w:cs="Arial"/>
          <w:bCs/>
          <w:sz w:val="24"/>
          <w:szCs w:val="24"/>
        </w:rPr>
        <w:t>9</w:t>
      </w:r>
      <w:r w:rsidRPr="00116D9A">
        <w:rPr>
          <w:rFonts w:ascii="Arial" w:hAnsi="Arial" w:cs="Arial"/>
          <w:bCs/>
          <w:sz w:val="24"/>
          <w:szCs w:val="24"/>
        </w:rPr>
        <w:t>.</w:t>
      </w:r>
      <w:r>
        <w:rPr>
          <w:rFonts w:ascii="Arial" w:hAnsi="Arial" w:cs="Arial"/>
          <w:bCs/>
          <w:sz w:val="24"/>
          <w:szCs w:val="24"/>
        </w:rPr>
        <w:t xml:space="preserve"> O controle dos processos judiciais é realizado pelo setor jurídico do Município e está registrado como passivos contingentes.</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EF405C">
        <w:rPr>
          <w:rFonts w:ascii="Arial" w:hAnsi="Arial" w:cs="Arial"/>
          <w:b/>
          <w:bCs/>
          <w:color w:val="215868" w:themeColor="accent5" w:themeShade="80"/>
          <w:sz w:val="24"/>
          <w:szCs w:val="24"/>
        </w:rPr>
        <w:t xml:space="preserve"> Demais variações</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Variações Aumentativas</w:t>
      </w: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Impostos, Taxas e Contribuição de Melhoria</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 variação aumentativa do patrimônio pela arrecadação de impostos, taxas ou contribuição de melhoria, e pelo reconhecimento de créditos a receber destes.</w:t>
      </w:r>
    </w:p>
    <w:p w:rsidR="00EF405C" w:rsidRDefault="00EF405C" w:rsidP="00EF405C">
      <w:pPr>
        <w:spacing w:after="0" w:line="240" w:lineRule="auto"/>
        <w:rPr>
          <w:rFonts w:ascii="Arial" w:hAnsi="Arial" w:cs="Arial"/>
          <w:bCs/>
          <w:color w:val="215868" w:themeColor="accent5" w:themeShade="80"/>
          <w:sz w:val="24"/>
          <w:szCs w:val="24"/>
        </w:rPr>
      </w:pPr>
    </w:p>
    <w:p w:rsidR="007B4E66" w:rsidRDefault="007B4E66"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lastRenderedPageBreak/>
        <w:t>Contribuições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As contribuições são relativas ao domínio econômico e a iluminação pública.</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Exploração e Venda de Bens e Serviços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Refletem o esforço do Município em geral na prestação de serviços à comunidade com base em preço público estabelecido em lei municipal.</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Aumentativas Financeiras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as entradas relativas a juros arrecadados, bem como os rendimentos de depósitos bancários de recursos públicos aplicados em Instituições financeiras.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Transferências e delegações recebidas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Podem ser </w:t>
      </w:r>
      <w:proofErr w:type="spellStart"/>
      <w:r>
        <w:rPr>
          <w:rFonts w:ascii="Arial" w:hAnsi="Arial" w:cs="Arial"/>
          <w:bCs/>
          <w:sz w:val="24"/>
          <w:szCs w:val="24"/>
        </w:rPr>
        <w:t>intra</w:t>
      </w:r>
      <w:proofErr w:type="spellEnd"/>
      <w:r>
        <w:rPr>
          <w:rFonts w:ascii="Arial" w:hAnsi="Arial" w:cs="Arial"/>
          <w:bCs/>
          <w:sz w:val="24"/>
          <w:szCs w:val="24"/>
        </w:rPr>
        <w:t xml:space="preserve"> ou </w:t>
      </w:r>
      <w:proofErr w:type="spellStart"/>
      <w:r>
        <w:rPr>
          <w:rFonts w:ascii="Arial" w:hAnsi="Arial" w:cs="Arial"/>
          <w:bCs/>
          <w:sz w:val="24"/>
          <w:szCs w:val="24"/>
        </w:rPr>
        <w:t>inter</w:t>
      </w:r>
      <w:proofErr w:type="spellEnd"/>
      <w:r>
        <w:rPr>
          <w:rFonts w:ascii="Arial" w:hAnsi="Arial" w:cs="Arial"/>
          <w:bCs/>
          <w:sz w:val="24"/>
          <w:szCs w:val="24"/>
        </w:rPr>
        <w:t xml:space="preserve"> orçamentárias, com origem no Município, Estado ou União. São as transferências recebidas no exercício, podem ser legais ou voluntárias.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Valorização e Ganhos com ativos e desincorporação de passivos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w:t>
      </w:r>
      <w:r w:rsidR="00D37F40">
        <w:rPr>
          <w:rFonts w:ascii="Arial" w:hAnsi="Arial" w:cs="Arial"/>
          <w:bCs/>
          <w:sz w:val="24"/>
          <w:szCs w:val="24"/>
        </w:rPr>
        <w:t>não obteve</w:t>
      </w:r>
      <w:r>
        <w:rPr>
          <w:rFonts w:ascii="Arial" w:hAnsi="Arial" w:cs="Arial"/>
          <w:bCs/>
          <w:sz w:val="24"/>
          <w:szCs w:val="24"/>
        </w:rPr>
        <w:t xml:space="preserve"> ganhos com incorporação de ativos</w:t>
      </w:r>
      <w:r w:rsidR="00D37F40">
        <w:rPr>
          <w:rFonts w:ascii="Arial" w:hAnsi="Arial" w:cs="Arial"/>
          <w:bCs/>
          <w:sz w:val="24"/>
          <w:szCs w:val="24"/>
        </w:rPr>
        <w:t xml:space="preserve"> no ano de 2019</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Outras Variações Patrimoniais Aumentativas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Refletem as demais variações patrimoniais aumentativas não citadas acima, inclusive por redução das despesas com férias e décimo reconhecidas por competência.</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Variações Diminutivas</w:t>
      </w: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Pessoal e Encargos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 redução do patrimônio do Município pela assunção da despesa com pessoal, que de acordo com cada área de atuação, produzirá bens ou serviços à comunidade, como a mão de obra de professores, engenheiro, motoristas, operadores de máquinas, enfermeiros, médicos, assistentes administrativos, agentes políticos entre outros.</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Benefícios Previdenciários e Assistenciais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os benefícios como aposentadorias e reformas, pensões, benefícios eventuais como auxilio saúde, auxílio funeral e outros.</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Uso de Bens, Serviços e Consumo de capital fixo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Produtos adquiridos como, merenda escolar, material de limpeza, higiene, copa e cozinha, combustível, medicamentos entre outros produtos. Os serviços contratados pelo Município como seguros, assinaturas, transporte escolar, energia elétrica, coleta de lixo e outros. Neste grupo também está contabilizado as variações patrimoniais diminutivas com depreciação de bens móveis e imóveis.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Transferências e delegações concedidas</w:t>
      </w:r>
    </w:p>
    <w:p w:rsidR="00EF405C" w:rsidRDefault="00D37F40" w:rsidP="00EF405C">
      <w:pPr>
        <w:spacing w:after="0" w:line="240" w:lineRule="auto"/>
        <w:jc w:val="both"/>
        <w:rPr>
          <w:rFonts w:ascii="Arial" w:hAnsi="Arial" w:cs="Arial"/>
          <w:bCs/>
          <w:sz w:val="24"/>
          <w:szCs w:val="24"/>
        </w:rPr>
      </w:pPr>
      <w:r>
        <w:rPr>
          <w:rFonts w:ascii="Arial" w:hAnsi="Arial" w:cs="Arial"/>
          <w:bCs/>
          <w:sz w:val="24"/>
          <w:szCs w:val="24"/>
        </w:rPr>
        <w:t>As transferências intragovernamentais</w:t>
      </w:r>
      <w:r w:rsidR="00EF405C">
        <w:rPr>
          <w:rFonts w:ascii="Arial" w:hAnsi="Arial" w:cs="Arial"/>
          <w:bCs/>
          <w:sz w:val="24"/>
          <w:szCs w:val="24"/>
        </w:rPr>
        <w:t xml:space="preserve"> são operações entre órgãos do mesmo Ente Federativo, como é o caso da Prefeitura com a Câmara de Vereadores, e, Fundo </w:t>
      </w:r>
      <w:r w:rsidR="00EF405C">
        <w:rPr>
          <w:rFonts w:ascii="Arial" w:hAnsi="Arial" w:cs="Arial"/>
          <w:bCs/>
          <w:sz w:val="24"/>
          <w:szCs w:val="24"/>
        </w:rPr>
        <w:lastRenderedPageBreak/>
        <w:t xml:space="preserve">Municipal de Saúde. As transferências </w:t>
      </w:r>
      <w:r>
        <w:rPr>
          <w:rFonts w:ascii="Arial" w:hAnsi="Arial" w:cs="Arial"/>
          <w:bCs/>
          <w:sz w:val="24"/>
          <w:szCs w:val="24"/>
        </w:rPr>
        <w:t>intergovernamentais</w:t>
      </w:r>
      <w:r w:rsidR="00EF405C">
        <w:rPr>
          <w:rFonts w:ascii="Arial" w:hAnsi="Arial" w:cs="Arial"/>
          <w:bCs/>
          <w:sz w:val="24"/>
          <w:szCs w:val="24"/>
        </w:rPr>
        <w:t xml:space="preserve"> em geral representa os recursos que o Município transfere ao Fundo de Manutenção e Desenvolvimento da Educação Básica e de Valorização dos Profissionais da Educação. O Município transfere recursos também a Consórcios Públicos em que o mesmo é consorciado por um interesse em comum. Poderão haver outros tipos de transferências, ambas podendo ser legais ou voluntárias.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 xml:space="preserve">Desvalorização e perda de ativos e incorporação de passivos </w:t>
      </w:r>
    </w:p>
    <w:p w:rsidR="00BD3E11" w:rsidRDefault="00BD3E11" w:rsidP="00BD3E11">
      <w:pPr>
        <w:spacing w:after="0" w:line="240" w:lineRule="auto"/>
        <w:jc w:val="both"/>
        <w:rPr>
          <w:rFonts w:ascii="Arial" w:hAnsi="Arial" w:cs="Arial"/>
          <w:bCs/>
          <w:sz w:val="24"/>
          <w:szCs w:val="24"/>
        </w:rPr>
      </w:pPr>
      <w:r>
        <w:rPr>
          <w:rFonts w:ascii="Arial" w:hAnsi="Arial" w:cs="Arial"/>
          <w:bCs/>
          <w:sz w:val="24"/>
          <w:szCs w:val="24"/>
        </w:rPr>
        <w:t>A desvalorização e perda representam a baixa de bens do ativo patrimonial, podendo ser doações, baixa de créditos a receber por ajustes ou cancelamentos, baixa de bens por motivos diversos entre outros.</w:t>
      </w:r>
    </w:p>
    <w:p w:rsidR="00BD3E11" w:rsidRDefault="00BD3E11" w:rsidP="00BD3E11">
      <w:pPr>
        <w:spacing w:after="0" w:line="240" w:lineRule="auto"/>
        <w:jc w:val="both"/>
        <w:rPr>
          <w:rFonts w:ascii="Arial" w:hAnsi="Arial" w:cs="Arial"/>
          <w:bCs/>
          <w:sz w:val="24"/>
          <w:szCs w:val="24"/>
        </w:rPr>
      </w:pPr>
    </w:p>
    <w:p w:rsidR="00EF405C" w:rsidRDefault="00BD3E11" w:rsidP="000121F0">
      <w:pPr>
        <w:spacing w:after="0" w:line="240" w:lineRule="auto"/>
        <w:jc w:val="both"/>
        <w:rPr>
          <w:rFonts w:ascii="Arial" w:hAnsi="Arial" w:cs="Arial"/>
          <w:bCs/>
          <w:sz w:val="24"/>
          <w:szCs w:val="24"/>
        </w:rPr>
      </w:pPr>
      <w:r>
        <w:rPr>
          <w:rFonts w:ascii="Arial" w:hAnsi="Arial" w:cs="Arial"/>
          <w:bCs/>
          <w:sz w:val="24"/>
          <w:szCs w:val="24"/>
        </w:rPr>
        <w:t>A incorporação de passivos representa o reconhecimento de um passivo, sendo independente de execução orçamentária</w:t>
      </w:r>
    </w:p>
    <w:p w:rsidR="000B4105" w:rsidRDefault="000B4105" w:rsidP="00BD3E11">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Representam a despesa com taxas e contribuições.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Outras Variações Patrimoniais Diminutivas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Refletem as demais variações patrimoniais diminutivas não citadas acima.</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B115B" w:rsidRDefault="00EB115B"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EF405C">
        <w:rPr>
          <w:rFonts w:ascii="Arial" w:hAnsi="Arial" w:cs="Arial"/>
          <w:b/>
          <w:bCs/>
          <w:color w:val="215868" w:themeColor="accent5" w:themeShade="80"/>
          <w:sz w:val="24"/>
          <w:szCs w:val="24"/>
        </w:rPr>
        <w:t>Transferências Financeiras Recebidas e Concedidas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Não houveram receitas e despesas </w:t>
      </w:r>
      <w:proofErr w:type="spellStart"/>
      <w:r>
        <w:rPr>
          <w:rFonts w:ascii="Arial" w:hAnsi="Arial" w:cs="Arial"/>
          <w:sz w:val="24"/>
          <w:szCs w:val="24"/>
        </w:rPr>
        <w:t>intraorçamentária</w:t>
      </w:r>
      <w:proofErr w:type="spellEnd"/>
      <w:r>
        <w:rPr>
          <w:rFonts w:ascii="Arial" w:hAnsi="Arial" w:cs="Arial"/>
          <w:sz w:val="24"/>
          <w:szCs w:val="24"/>
        </w:rPr>
        <w:t xml:space="preserve">, apenas transferências </w:t>
      </w:r>
      <w:proofErr w:type="spellStart"/>
      <w:r>
        <w:rPr>
          <w:rFonts w:ascii="Arial" w:hAnsi="Arial" w:cs="Arial"/>
          <w:sz w:val="24"/>
          <w:szCs w:val="24"/>
        </w:rPr>
        <w:t>intraorçamentárias</w:t>
      </w:r>
      <w:proofErr w:type="spellEnd"/>
      <w:r>
        <w:rPr>
          <w:rFonts w:ascii="Arial" w:hAnsi="Arial" w:cs="Arial"/>
          <w:sz w:val="24"/>
          <w:szCs w:val="24"/>
        </w:rPr>
        <w:t>:</w:t>
      </w:r>
    </w:p>
    <w:p w:rsidR="00EF405C" w:rsidRDefault="00EF405C" w:rsidP="00EF40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1617"/>
        <w:gridCol w:w="1639"/>
        <w:gridCol w:w="1548"/>
        <w:gridCol w:w="2201"/>
        <w:gridCol w:w="2067"/>
      </w:tblGrid>
      <w:tr w:rsidR="00EF405C" w:rsidTr="00EB115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ENTIDADE CONCEDENTE</w:t>
            </w:r>
          </w:p>
        </w:tc>
        <w:tc>
          <w:tcPr>
            <w:tcW w:w="1639"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ENTIDADE RECEBEDORA</w:t>
            </w:r>
          </w:p>
        </w:tc>
        <w:tc>
          <w:tcPr>
            <w:tcW w:w="1548"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VALOR</w:t>
            </w:r>
          </w:p>
        </w:tc>
        <w:tc>
          <w:tcPr>
            <w:tcW w:w="2201"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FINALIDADE</w:t>
            </w:r>
          </w:p>
        </w:tc>
        <w:tc>
          <w:tcPr>
            <w:tcW w:w="2067"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ATO LEGAL</w:t>
            </w:r>
          </w:p>
        </w:tc>
      </w:tr>
      <w:tr w:rsidR="00EB115B" w:rsidTr="00EB11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rPr>
                <w:rFonts w:ascii="Arial" w:hAnsi="Arial" w:cs="Arial"/>
                <w:b w:val="0"/>
                <w:sz w:val="20"/>
                <w:szCs w:val="20"/>
              </w:rPr>
            </w:pPr>
            <w:r>
              <w:rPr>
                <w:rFonts w:ascii="Arial" w:hAnsi="Arial" w:cs="Arial"/>
                <w:b w:val="0"/>
                <w:sz w:val="20"/>
                <w:szCs w:val="20"/>
              </w:rPr>
              <w:t>Prefeitura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Fundo Municipal de Saúde</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2.402.727,79</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Manutenção de todas as atividades do Fundo Municipal de Saúde</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P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115B">
              <w:rPr>
                <w:rFonts w:ascii="Arial" w:hAnsi="Arial" w:cs="Arial"/>
                <w:sz w:val="20"/>
                <w:szCs w:val="20"/>
              </w:rPr>
              <w:t>A Lei Municipal nº 1402, de 03 de dezembro de 2018 aprovou a Lei Orçamentária 2019</w:t>
            </w:r>
          </w:p>
        </w:tc>
      </w:tr>
      <w:tr w:rsidR="00EB115B" w:rsidTr="00EB115B">
        <w:trPr>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rPr>
                <w:rFonts w:ascii="Arial" w:hAnsi="Arial" w:cs="Arial"/>
                <w:b w:val="0"/>
                <w:sz w:val="20"/>
                <w:szCs w:val="20"/>
              </w:rPr>
            </w:pPr>
            <w:r>
              <w:rPr>
                <w:rFonts w:ascii="Arial" w:hAnsi="Arial" w:cs="Arial"/>
                <w:b w:val="0"/>
                <w:sz w:val="20"/>
                <w:szCs w:val="20"/>
              </w:rPr>
              <w:t>Prefeitura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Câmara </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769.992,00</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Manutenção de todas as atividades do Poder Legislativo Municipal</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Pr="00EB115B" w:rsidRDefault="00EB115B" w:rsidP="00EB11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115B">
              <w:rPr>
                <w:rFonts w:ascii="Arial" w:hAnsi="Arial" w:cs="Arial"/>
                <w:sz w:val="20"/>
                <w:szCs w:val="20"/>
              </w:rPr>
              <w:t>A Lei Municipal nº 1402, de 03 de dezembro de 2018 aprovou a Lei Orçamentária 2019</w:t>
            </w:r>
          </w:p>
        </w:tc>
      </w:tr>
      <w:tr w:rsidR="00EB115B" w:rsidTr="00EB115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rPr>
                <w:rFonts w:ascii="Arial" w:hAnsi="Arial" w:cs="Arial"/>
                <w:b w:val="0"/>
                <w:sz w:val="20"/>
                <w:szCs w:val="20"/>
              </w:rPr>
            </w:pPr>
            <w:r>
              <w:rPr>
                <w:rFonts w:ascii="Arial" w:hAnsi="Arial" w:cs="Arial"/>
                <w:b w:val="0"/>
                <w:sz w:val="20"/>
                <w:szCs w:val="20"/>
              </w:rPr>
              <w:t>Câmara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Prefeitura</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27.110,03</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Devolução dos recursos não utilizados  referente duodécimo do exercício</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B115B" w:rsidRPr="00EB115B" w:rsidRDefault="00EB115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115B">
              <w:rPr>
                <w:rFonts w:ascii="Arial" w:hAnsi="Arial" w:cs="Arial"/>
                <w:sz w:val="20"/>
                <w:szCs w:val="20"/>
              </w:rPr>
              <w:t>A Lei Municipal nº 1402, de 03 de dezembro de 2018 aprovou a Lei Orçamentária 2019</w:t>
            </w:r>
          </w:p>
        </w:tc>
      </w:tr>
    </w:tbl>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lastRenderedPageBreak/>
        <w:t>21.</w:t>
      </w:r>
      <w:r w:rsidR="00EF405C">
        <w:rPr>
          <w:rFonts w:ascii="Arial" w:hAnsi="Arial" w:cs="Arial"/>
          <w:b/>
          <w:bCs/>
          <w:color w:val="215868" w:themeColor="accent5" w:themeShade="80"/>
          <w:sz w:val="24"/>
          <w:szCs w:val="24"/>
        </w:rPr>
        <w:t xml:space="preserve"> Retenções tributárias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Cs/>
          <w:sz w:val="24"/>
          <w:szCs w:val="24"/>
        </w:rPr>
      </w:pPr>
      <w:r>
        <w:rPr>
          <w:rFonts w:ascii="Arial" w:hAnsi="Arial" w:cs="Arial"/>
          <w:b/>
          <w:bCs/>
          <w:color w:val="215868" w:themeColor="accent5" w:themeShade="80"/>
          <w:sz w:val="24"/>
          <w:szCs w:val="24"/>
        </w:rPr>
        <w:t>22.</w:t>
      </w:r>
      <w:r w:rsidR="00EF405C">
        <w:rPr>
          <w:rFonts w:ascii="Arial" w:hAnsi="Arial" w:cs="Arial"/>
          <w:b/>
          <w:bCs/>
          <w:color w:val="215868" w:themeColor="accent5" w:themeShade="80"/>
          <w:sz w:val="24"/>
          <w:szCs w:val="24"/>
        </w:rPr>
        <w:t xml:space="preserve"> Restos a pagar processados e não processados</w:t>
      </w:r>
      <w:r w:rsidR="00EF405C">
        <w:rPr>
          <w:rFonts w:ascii="Arial" w:hAnsi="Arial" w:cs="Arial"/>
          <w:bCs/>
          <w:sz w:val="24"/>
          <w:szCs w:val="24"/>
        </w:rPr>
        <w:t xml:space="preserve"> </w:t>
      </w:r>
    </w:p>
    <w:p w:rsidR="00BD1D17" w:rsidRDefault="00BD1D17" w:rsidP="00BD1D17">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141.450,34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R$ 100.471,54 pagos no exercício e R$ 1.770,61 cancelados.</w:t>
      </w:r>
      <w:r w:rsidRPr="00DF4B19">
        <w:rPr>
          <w:rFonts w:ascii="Arial" w:hAnsi="Arial" w:cs="Arial"/>
          <w:bCs/>
          <w:sz w:val="24"/>
          <w:szCs w:val="24"/>
        </w:rPr>
        <w:t xml:space="preserve"> </w:t>
      </w:r>
      <w:r>
        <w:rPr>
          <w:rFonts w:ascii="Arial" w:hAnsi="Arial" w:cs="Arial"/>
          <w:bCs/>
          <w:sz w:val="24"/>
          <w:szCs w:val="24"/>
        </w:rPr>
        <w:t>O município inscreveu em restos a pagar não processados R$ 303.102,79.</w:t>
      </w:r>
    </w:p>
    <w:p w:rsidR="00BD1D17" w:rsidRDefault="00BD1D17" w:rsidP="00BD1D17">
      <w:pPr>
        <w:spacing w:after="0" w:line="240" w:lineRule="auto"/>
        <w:jc w:val="both"/>
        <w:rPr>
          <w:rFonts w:ascii="Arial" w:hAnsi="Arial" w:cs="Arial"/>
          <w:bCs/>
          <w:sz w:val="24"/>
          <w:szCs w:val="24"/>
        </w:rPr>
      </w:pPr>
    </w:p>
    <w:p w:rsidR="00BD1D17" w:rsidRDefault="00BD1D17" w:rsidP="00BD1D17">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9.587,33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R$ 9.441,45 pagos no exercício e R$ 125,00 cancelados. No</w:t>
      </w:r>
      <w:r w:rsidRPr="008D5259">
        <w:rPr>
          <w:rFonts w:ascii="Arial" w:hAnsi="Arial" w:cs="Arial"/>
          <w:bCs/>
          <w:sz w:val="24"/>
          <w:szCs w:val="24"/>
        </w:rPr>
        <w:t xml:space="preserve"> exercício de </w:t>
      </w:r>
      <w:r>
        <w:rPr>
          <w:rFonts w:ascii="Arial" w:hAnsi="Arial" w:cs="Arial"/>
          <w:bCs/>
          <w:sz w:val="24"/>
          <w:szCs w:val="24"/>
        </w:rPr>
        <w:t>2019 houve a inscrição de R$ 14.757,66, em restos a pagar processados.</w:t>
      </w:r>
    </w:p>
    <w:p w:rsidR="00BD1D17" w:rsidRDefault="00BD1D17" w:rsidP="00BD1D17">
      <w:pPr>
        <w:spacing w:after="0" w:line="240" w:lineRule="auto"/>
        <w:rPr>
          <w:rFonts w:ascii="Arial" w:hAnsi="Arial" w:cs="Arial"/>
          <w:b/>
          <w:bCs/>
          <w:color w:val="984806" w:themeColor="accent6" w:themeShade="80"/>
          <w:sz w:val="24"/>
          <w:szCs w:val="24"/>
        </w:rPr>
      </w:pPr>
    </w:p>
    <w:p w:rsidR="000B4105" w:rsidRDefault="000B4105" w:rsidP="000B4105">
      <w:pPr>
        <w:spacing w:after="0" w:line="240" w:lineRule="auto"/>
        <w:jc w:val="both"/>
        <w:rPr>
          <w:rFonts w:ascii="Arial" w:hAnsi="Arial" w:cs="Arial"/>
          <w:bCs/>
          <w:sz w:val="24"/>
          <w:szCs w:val="24"/>
        </w:rPr>
      </w:pPr>
    </w:p>
    <w:p w:rsidR="00EF405C" w:rsidRDefault="00EF405C" w:rsidP="00EF405C">
      <w:pPr>
        <w:spacing w:line="240" w:lineRule="auto"/>
        <w:jc w:val="both"/>
        <w:rPr>
          <w:rFonts w:ascii="Arial" w:hAnsi="Arial" w:cs="Arial"/>
          <w:b/>
          <w:bCs/>
          <w:color w:val="215868" w:themeColor="accent5" w:themeShade="80"/>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DOS FLUXOS DE CAIXA</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tbl>
      <w:tblPr>
        <w:tblStyle w:val="TabeladeGrade4-nfase52"/>
        <w:tblW w:w="9072" w:type="dxa"/>
        <w:tblInd w:w="108" w:type="dxa"/>
        <w:tblLook w:val="04A0" w:firstRow="1" w:lastRow="0" w:firstColumn="1" w:lastColumn="0" w:noHBand="0" w:noVBand="1"/>
      </w:tblPr>
      <w:tblGrid>
        <w:gridCol w:w="4253"/>
        <w:gridCol w:w="1508"/>
        <w:gridCol w:w="1701"/>
        <w:gridCol w:w="1610"/>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rsidR="00EF405C" w:rsidRPr="00DE263D" w:rsidRDefault="00EF405C">
            <w:pPr>
              <w:autoSpaceDE w:val="0"/>
              <w:autoSpaceDN w:val="0"/>
              <w:adjustRightInd w:val="0"/>
              <w:rPr>
                <w:rFonts w:ascii="Arial" w:hAnsi="Arial" w:cs="Arial"/>
                <w:color w:val="auto"/>
                <w:sz w:val="20"/>
              </w:rPr>
            </w:pPr>
            <w:r w:rsidRPr="00DE263D">
              <w:rPr>
                <w:rFonts w:ascii="Arial" w:hAnsi="Arial" w:cs="Arial"/>
                <w:color w:val="auto"/>
                <w:sz w:val="20"/>
              </w:rPr>
              <w:t>TIPO DE FLUXO</w:t>
            </w:r>
          </w:p>
        </w:tc>
        <w:tc>
          <w:tcPr>
            <w:tcW w:w="1508" w:type="dxa"/>
            <w:hideMark/>
          </w:tcPr>
          <w:p w:rsidR="00EF405C" w:rsidRPr="00DE263D"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DE263D">
              <w:rPr>
                <w:rFonts w:ascii="Arial" w:hAnsi="Arial" w:cs="Arial"/>
                <w:color w:val="auto"/>
                <w:sz w:val="20"/>
              </w:rPr>
              <w:t>2019</w:t>
            </w:r>
          </w:p>
        </w:tc>
        <w:tc>
          <w:tcPr>
            <w:tcW w:w="1701" w:type="dxa"/>
            <w:hideMark/>
          </w:tcPr>
          <w:p w:rsidR="00EF405C" w:rsidRPr="00DE263D"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DE263D">
              <w:rPr>
                <w:rFonts w:ascii="Arial" w:hAnsi="Arial" w:cs="Arial"/>
                <w:color w:val="auto"/>
                <w:sz w:val="20"/>
              </w:rPr>
              <w:t>2018</w:t>
            </w:r>
          </w:p>
        </w:tc>
        <w:tc>
          <w:tcPr>
            <w:tcW w:w="1610" w:type="dxa"/>
            <w:hideMark/>
          </w:tcPr>
          <w:p w:rsidR="00EF405C" w:rsidRPr="00DE263D"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DE263D">
              <w:rPr>
                <w:rFonts w:ascii="Arial" w:hAnsi="Arial" w:cs="Arial"/>
                <w:color w:val="auto"/>
                <w:sz w:val="20"/>
              </w:rPr>
              <w:t>VARIAÇÃO</w:t>
            </w:r>
          </w:p>
        </w:tc>
      </w:tr>
      <w:tr w:rsidR="00EF405C" w:rsidTr="00DE26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rPr>
                <w:rFonts w:ascii="Arial" w:hAnsi="Arial" w:cs="Arial"/>
                <w:b w:val="0"/>
                <w:sz w:val="20"/>
              </w:rPr>
            </w:pPr>
            <w:r w:rsidRPr="00DE263D">
              <w:rPr>
                <w:rFonts w:ascii="Arial" w:hAnsi="Arial" w:cs="Arial"/>
                <w:b w:val="0"/>
                <w:sz w:val="20"/>
              </w:rPr>
              <w:t>Fluxo de Caixa das Atividades Operacionais</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1.758.449,55</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E263D">
              <w:rPr>
                <w:rFonts w:ascii="Arial" w:hAnsi="Arial" w:cs="Arial"/>
                <w:sz w:val="20"/>
              </w:rPr>
              <w:t>1.171.742,35</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586.707,20</w:t>
            </w:r>
          </w:p>
        </w:tc>
      </w:tr>
      <w:tr w:rsidR="00EF405C" w:rsidTr="00DE263D">
        <w:trPr>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rPr>
                <w:rFonts w:ascii="Arial" w:hAnsi="Arial" w:cs="Arial"/>
                <w:b w:val="0"/>
                <w:sz w:val="20"/>
              </w:rPr>
            </w:pPr>
            <w:r w:rsidRPr="00DE263D">
              <w:rPr>
                <w:rFonts w:ascii="Arial" w:hAnsi="Arial" w:cs="Arial"/>
                <w:b w:val="0"/>
                <w:sz w:val="20"/>
              </w:rPr>
              <w:t>Fluxo de Caixa das Atividades de Investimento</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-2.773.942,64</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E263D">
              <w:rPr>
                <w:rFonts w:ascii="Arial" w:hAnsi="Arial" w:cs="Arial"/>
                <w:sz w:val="20"/>
              </w:rPr>
              <w:t>-1.251.575,49</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-1.522.367,15</w:t>
            </w:r>
          </w:p>
        </w:tc>
      </w:tr>
      <w:tr w:rsidR="00EF405C" w:rsidTr="00DE26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rPr>
                <w:rFonts w:ascii="Arial" w:hAnsi="Arial" w:cs="Arial"/>
                <w:b w:val="0"/>
                <w:sz w:val="20"/>
              </w:rPr>
            </w:pPr>
            <w:r w:rsidRPr="00DE263D">
              <w:rPr>
                <w:rFonts w:ascii="Arial" w:hAnsi="Arial" w:cs="Arial"/>
                <w:b w:val="0"/>
                <w:sz w:val="20"/>
              </w:rPr>
              <w:t>Fluxo de Caixa das Atividades de Financiamento</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1.683.584,44</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Pr="00DE263D"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E263D">
              <w:rPr>
                <w:rFonts w:ascii="Arial" w:hAnsi="Arial" w:cs="Arial"/>
                <w:sz w:val="20"/>
              </w:rPr>
              <w:t>312.010,00</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Pr="00DE263D" w:rsidRDefault="00DE26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1.371.574,44</w:t>
            </w:r>
          </w:p>
        </w:tc>
      </w:tr>
    </w:tbl>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23.</w:t>
      </w:r>
      <w:r w:rsidR="00EF405C" w:rsidRPr="00FB41B2">
        <w:rPr>
          <w:rFonts w:ascii="Arial" w:hAnsi="Arial" w:cs="Arial"/>
          <w:b/>
          <w:bCs/>
          <w:color w:val="215868" w:themeColor="accent5" w:themeShade="80"/>
          <w:sz w:val="24"/>
          <w:szCs w:val="24"/>
        </w:rPr>
        <w:t>Análise Horizontal do Fluxo de Caixa das Atividades Operacionais</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 xml:space="preserve">O Fluxo de Caixa das Atividades Operacionais compreende os ingressos e os desembolsos relacionados com a ação pública, sendo que no exercício de 2019 apresentou o montante positivo de R$ </w:t>
      </w:r>
      <w:r w:rsidR="00DE263D">
        <w:rPr>
          <w:rFonts w:ascii="Arial" w:hAnsi="Arial" w:cs="Arial"/>
          <w:sz w:val="24"/>
          <w:szCs w:val="24"/>
        </w:rPr>
        <w:t>1.758.449,55</w:t>
      </w:r>
      <w:r w:rsidRPr="00DE263D">
        <w:rPr>
          <w:rFonts w:ascii="Arial" w:hAnsi="Arial" w:cs="Arial"/>
          <w:sz w:val="24"/>
          <w:szCs w:val="24"/>
        </w:rPr>
        <w:t xml:space="preserve">, tendo variação </w:t>
      </w:r>
      <w:r w:rsidR="00DE263D">
        <w:rPr>
          <w:rFonts w:ascii="Arial" w:hAnsi="Arial" w:cs="Arial"/>
          <w:sz w:val="24"/>
          <w:szCs w:val="24"/>
        </w:rPr>
        <w:t xml:space="preserve">positiva </w:t>
      </w:r>
      <w:r w:rsidRPr="00DE263D">
        <w:rPr>
          <w:rFonts w:ascii="Arial" w:hAnsi="Arial" w:cs="Arial"/>
          <w:sz w:val="24"/>
          <w:szCs w:val="24"/>
        </w:rPr>
        <w:t xml:space="preserve">montante de R$ </w:t>
      </w:r>
      <w:r w:rsidR="00DE263D">
        <w:rPr>
          <w:rFonts w:ascii="Arial" w:hAnsi="Arial" w:cs="Arial"/>
          <w:sz w:val="24"/>
          <w:szCs w:val="24"/>
        </w:rPr>
        <w:t>586.707,20</w:t>
      </w:r>
      <w:r w:rsidRPr="00DE263D">
        <w:rPr>
          <w:rFonts w:ascii="Arial" w:hAnsi="Arial" w:cs="Arial"/>
          <w:sz w:val="24"/>
          <w:szCs w:val="24"/>
        </w:rPr>
        <w:t xml:space="preserve"> de 2018 para 2019, o que demonstra </w:t>
      </w:r>
      <w:r w:rsidR="00DE263D">
        <w:rPr>
          <w:rFonts w:ascii="Arial" w:hAnsi="Arial" w:cs="Arial"/>
          <w:sz w:val="24"/>
          <w:szCs w:val="24"/>
        </w:rPr>
        <w:t>aumento do</w:t>
      </w:r>
      <w:r w:rsidRPr="00DE263D">
        <w:rPr>
          <w:rFonts w:ascii="Arial" w:hAnsi="Arial" w:cs="Arial"/>
          <w:sz w:val="24"/>
          <w:szCs w:val="24"/>
        </w:rPr>
        <w:t xml:space="preserve"> resultado líquido financeiro (ingressos – desembolsos), </w:t>
      </w:r>
      <w:r w:rsidR="00DE263D">
        <w:rPr>
          <w:rFonts w:ascii="Arial" w:hAnsi="Arial" w:cs="Arial"/>
          <w:sz w:val="24"/>
          <w:szCs w:val="24"/>
        </w:rPr>
        <w:t>melhorando</w:t>
      </w:r>
      <w:r w:rsidRPr="00DE263D">
        <w:rPr>
          <w:rFonts w:ascii="Arial" w:hAnsi="Arial" w:cs="Arial"/>
          <w:sz w:val="24"/>
          <w:szCs w:val="24"/>
        </w:rPr>
        <w:t xml:space="preserve"> a capacidade de pagamento </w:t>
      </w:r>
      <w:r w:rsidR="00DE263D">
        <w:rPr>
          <w:rFonts w:ascii="Arial" w:hAnsi="Arial" w:cs="Arial"/>
          <w:sz w:val="24"/>
          <w:szCs w:val="24"/>
        </w:rPr>
        <w:t>do Município. Os ingressos operacionais somaram R$ 19.276.419,19, enquanto os desembolsos foram de R$ 17.517.969,64.</w:t>
      </w:r>
    </w:p>
    <w:p w:rsidR="00EF405C" w:rsidRDefault="00EF405C" w:rsidP="00EF405C">
      <w:pPr>
        <w:spacing w:after="0" w:line="240" w:lineRule="auto"/>
        <w:rPr>
          <w:rFonts w:ascii="Arial" w:hAnsi="Arial" w:cs="Arial"/>
          <w:bCs/>
          <w:color w:val="215868" w:themeColor="accent5" w:themeShade="80"/>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24.</w:t>
      </w:r>
      <w:r w:rsidR="00EF405C" w:rsidRPr="00FB41B2">
        <w:rPr>
          <w:rFonts w:ascii="Arial" w:hAnsi="Arial" w:cs="Arial"/>
          <w:b/>
          <w:bCs/>
          <w:color w:val="215868" w:themeColor="accent5" w:themeShade="80"/>
          <w:sz w:val="24"/>
          <w:szCs w:val="24"/>
        </w:rPr>
        <w:t>Análise Horizontal do Fluxo de Caixa das Atividades de Investimento</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O resultado (ingressos – desembolsos) de 2019 foi negativo em R$ </w:t>
      </w:r>
      <w:r w:rsidR="00DE263D">
        <w:rPr>
          <w:rFonts w:ascii="Arial" w:hAnsi="Arial" w:cs="Arial"/>
          <w:sz w:val="24"/>
          <w:szCs w:val="24"/>
        </w:rPr>
        <w:t>2.773.942,64</w:t>
      </w:r>
      <w:r w:rsidRPr="00DE263D">
        <w:rPr>
          <w:rFonts w:ascii="Arial" w:hAnsi="Arial" w:cs="Arial"/>
          <w:sz w:val="24"/>
          <w:szCs w:val="24"/>
        </w:rPr>
        <w:t xml:space="preserve">. A variação negativa foi de R$ </w:t>
      </w:r>
      <w:r w:rsidR="00DE263D">
        <w:rPr>
          <w:rFonts w:ascii="Arial" w:hAnsi="Arial" w:cs="Arial"/>
          <w:sz w:val="24"/>
          <w:szCs w:val="24"/>
        </w:rPr>
        <w:t>1.522.367,15</w:t>
      </w:r>
      <w:r w:rsidRPr="00DE263D">
        <w:rPr>
          <w:rFonts w:ascii="Arial" w:hAnsi="Arial" w:cs="Arial"/>
          <w:sz w:val="24"/>
          <w:szCs w:val="24"/>
        </w:rPr>
        <w:t xml:space="preserve"> de 2018 </w:t>
      </w:r>
      <w:r w:rsidRPr="00DE263D">
        <w:rPr>
          <w:rFonts w:ascii="Arial" w:hAnsi="Arial" w:cs="Arial"/>
          <w:sz w:val="24"/>
          <w:szCs w:val="24"/>
        </w:rPr>
        <w:lastRenderedPageBreak/>
        <w:t>para 2019, o que representa redução no capital circulante líquido do Município, pois houveram mais desembolsos que ingressos.</w:t>
      </w:r>
      <w:r w:rsidR="00DE263D">
        <w:rPr>
          <w:rFonts w:ascii="Arial" w:hAnsi="Arial" w:cs="Arial"/>
          <w:sz w:val="24"/>
          <w:szCs w:val="24"/>
        </w:rPr>
        <w:t xml:space="preserve"> Referem-se em geral, ao ingresso de R$ 79.400,00 de receita de alienação de bens e desembolso de R$ 2.853.342,64, na aquisição de ativos não circulantes e outros.</w:t>
      </w:r>
    </w:p>
    <w:p w:rsidR="00EF405C" w:rsidRPr="00DE263D" w:rsidRDefault="00EF405C" w:rsidP="00EF405C">
      <w:pPr>
        <w:spacing w:after="0" w:line="240" w:lineRule="auto"/>
        <w:jc w:val="both"/>
        <w:rPr>
          <w:rFonts w:ascii="Arial" w:hAnsi="Arial" w:cs="Arial"/>
          <w:sz w:val="24"/>
          <w:szCs w:val="24"/>
        </w:rPr>
      </w:pPr>
    </w:p>
    <w:p w:rsidR="00EF405C" w:rsidRDefault="00EF405C" w:rsidP="00EF405C">
      <w:pPr>
        <w:spacing w:after="0" w:line="240" w:lineRule="auto"/>
        <w:jc w:val="both"/>
        <w:rPr>
          <w:rFonts w:ascii="Arial" w:hAnsi="Arial" w:cs="Arial"/>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25.</w:t>
      </w:r>
      <w:r w:rsidR="00EF405C" w:rsidRPr="00FB41B2">
        <w:rPr>
          <w:rFonts w:ascii="Arial" w:hAnsi="Arial" w:cs="Arial"/>
          <w:b/>
          <w:bCs/>
          <w:color w:val="215868" w:themeColor="accent5" w:themeShade="80"/>
          <w:sz w:val="24"/>
          <w:szCs w:val="24"/>
        </w:rPr>
        <w:t>Análise Horizontal do Fluxo de Caixa das Atividades de Financiamento</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O Fluxo de Caixa das Atividades de Financiamento Inclui os recursos relacionados à captação e à amortização de empréstimos e financiamentos, apresentando o resultado da atividade, no exercício de 2019 o montante de R$ 1.683.584,44 e R$ 312.010,00 em 2018.</w:t>
      </w:r>
    </w:p>
    <w:p w:rsidR="00EF405C" w:rsidRPr="00DE263D" w:rsidRDefault="00EF405C" w:rsidP="00EF405C">
      <w:pPr>
        <w:spacing w:after="0" w:line="240" w:lineRule="auto"/>
        <w:rPr>
          <w:rFonts w:ascii="Arial" w:hAnsi="Arial" w:cs="Arial"/>
          <w:bCs/>
          <w:sz w:val="24"/>
          <w:szCs w:val="24"/>
        </w:rPr>
      </w:pPr>
    </w:p>
    <w:p w:rsidR="00DE263D" w:rsidRDefault="00DE263D" w:rsidP="00DE263D">
      <w:pPr>
        <w:spacing w:after="0" w:line="240" w:lineRule="auto"/>
        <w:rPr>
          <w:rFonts w:ascii="Arial" w:hAnsi="Arial" w:cs="Arial"/>
          <w:bCs/>
          <w:sz w:val="24"/>
          <w:szCs w:val="24"/>
        </w:rPr>
      </w:pPr>
      <w:r>
        <w:rPr>
          <w:rFonts w:ascii="Arial" w:hAnsi="Arial" w:cs="Arial"/>
          <w:bCs/>
          <w:sz w:val="24"/>
          <w:szCs w:val="24"/>
        </w:rPr>
        <w:t>Em 2018</w:t>
      </w:r>
      <w:r w:rsidRPr="00DE263D">
        <w:rPr>
          <w:rFonts w:ascii="Arial" w:hAnsi="Arial" w:cs="Arial"/>
          <w:bCs/>
          <w:sz w:val="24"/>
          <w:szCs w:val="24"/>
        </w:rPr>
        <w:t xml:space="preserve"> não houveram desembolsos e o ingresso no montante de R$ 312.010,00 referente transferência de capital recebida.</w:t>
      </w:r>
    </w:p>
    <w:p w:rsidR="00DE263D" w:rsidRPr="00DE263D" w:rsidRDefault="00DE263D" w:rsidP="00DE263D">
      <w:pPr>
        <w:spacing w:after="0" w:line="240" w:lineRule="auto"/>
        <w:rPr>
          <w:rFonts w:ascii="Arial" w:hAnsi="Arial" w:cs="Arial"/>
          <w:bCs/>
          <w:sz w:val="24"/>
          <w:szCs w:val="24"/>
        </w:rPr>
      </w:pPr>
    </w:p>
    <w:p w:rsidR="00EF405C" w:rsidRPr="00DE263D" w:rsidRDefault="00EF405C" w:rsidP="00EF405C">
      <w:pPr>
        <w:spacing w:after="0" w:line="240" w:lineRule="auto"/>
        <w:rPr>
          <w:rFonts w:ascii="Arial" w:hAnsi="Arial" w:cs="Arial"/>
          <w:bCs/>
          <w:sz w:val="24"/>
          <w:szCs w:val="24"/>
        </w:rPr>
      </w:pPr>
      <w:r w:rsidRPr="00DE263D">
        <w:rPr>
          <w:rFonts w:ascii="Arial" w:hAnsi="Arial" w:cs="Arial"/>
          <w:bCs/>
          <w:sz w:val="24"/>
          <w:szCs w:val="24"/>
        </w:rPr>
        <w:t>Em 2019</w:t>
      </w:r>
      <w:r w:rsidR="00DE263D">
        <w:rPr>
          <w:rFonts w:ascii="Arial" w:hAnsi="Arial" w:cs="Arial"/>
          <w:bCs/>
          <w:sz w:val="24"/>
          <w:szCs w:val="24"/>
        </w:rPr>
        <w:t>,</w:t>
      </w:r>
      <w:r w:rsidRPr="00DE263D">
        <w:rPr>
          <w:rFonts w:ascii="Arial" w:hAnsi="Arial" w:cs="Arial"/>
          <w:bCs/>
          <w:sz w:val="24"/>
          <w:szCs w:val="24"/>
        </w:rPr>
        <w:t xml:space="preserve"> o ingresso </w:t>
      </w:r>
      <w:r w:rsidR="00DE263D">
        <w:rPr>
          <w:rFonts w:ascii="Arial" w:hAnsi="Arial" w:cs="Arial"/>
          <w:bCs/>
          <w:sz w:val="24"/>
          <w:szCs w:val="24"/>
        </w:rPr>
        <w:t xml:space="preserve">da receita de operação de crédito foi de R$ 1.000.000,00 e das </w:t>
      </w:r>
      <w:r w:rsidRPr="00DE263D">
        <w:rPr>
          <w:rFonts w:ascii="Arial" w:hAnsi="Arial" w:cs="Arial"/>
          <w:bCs/>
          <w:sz w:val="24"/>
          <w:szCs w:val="24"/>
        </w:rPr>
        <w:t>transferência</w:t>
      </w:r>
      <w:r w:rsidR="00DE263D">
        <w:rPr>
          <w:rFonts w:ascii="Arial" w:hAnsi="Arial" w:cs="Arial"/>
          <w:bCs/>
          <w:sz w:val="24"/>
          <w:szCs w:val="24"/>
        </w:rPr>
        <w:t>s</w:t>
      </w:r>
      <w:r w:rsidRPr="00DE263D">
        <w:rPr>
          <w:rFonts w:ascii="Arial" w:hAnsi="Arial" w:cs="Arial"/>
          <w:bCs/>
          <w:sz w:val="24"/>
          <w:szCs w:val="24"/>
        </w:rPr>
        <w:t xml:space="preserve"> de capital</w:t>
      </w:r>
      <w:r w:rsidR="00DE263D">
        <w:rPr>
          <w:rFonts w:ascii="Arial" w:hAnsi="Arial" w:cs="Arial"/>
          <w:bCs/>
          <w:sz w:val="24"/>
          <w:szCs w:val="24"/>
        </w:rPr>
        <w:t xml:space="preserve">, </w:t>
      </w:r>
      <w:r w:rsidRPr="00DE263D">
        <w:rPr>
          <w:rFonts w:ascii="Arial" w:hAnsi="Arial" w:cs="Arial"/>
          <w:bCs/>
          <w:sz w:val="24"/>
          <w:szCs w:val="24"/>
        </w:rPr>
        <w:t xml:space="preserve">R$ </w:t>
      </w:r>
      <w:r w:rsidR="00DE263D">
        <w:rPr>
          <w:rFonts w:ascii="Arial" w:hAnsi="Arial" w:cs="Arial"/>
          <w:bCs/>
          <w:sz w:val="24"/>
          <w:szCs w:val="24"/>
        </w:rPr>
        <w:t>683.584,44. Não houveram</w:t>
      </w:r>
      <w:r w:rsidRPr="00DE263D">
        <w:rPr>
          <w:rFonts w:ascii="Arial" w:hAnsi="Arial" w:cs="Arial"/>
          <w:bCs/>
          <w:sz w:val="24"/>
          <w:szCs w:val="24"/>
        </w:rPr>
        <w:t xml:space="preserve"> desembolso</w:t>
      </w:r>
      <w:r w:rsidR="00DE263D">
        <w:rPr>
          <w:rFonts w:ascii="Arial" w:hAnsi="Arial" w:cs="Arial"/>
          <w:bCs/>
          <w:sz w:val="24"/>
          <w:szCs w:val="24"/>
        </w:rPr>
        <w:t>s</w:t>
      </w:r>
      <w:r w:rsidRPr="00DE263D">
        <w:rPr>
          <w:rFonts w:ascii="Arial" w:hAnsi="Arial" w:cs="Arial"/>
          <w:bCs/>
          <w:sz w:val="24"/>
          <w:szCs w:val="24"/>
        </w:rPr>
        <w:t>.</w:t>
      </w:r>
    </w:p>
    <w:p w:rsidR="00EF405C" w:rsidRPr="00DE263D"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color w:val="FF000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Retenções</w:t>
      </w:r>
    </w:p>
    <w:p w:rsidR="00EF405C" w:rsidRPr="00DE263D" w:rsidRDefault="00EF405C" w:rsidP="00EF405C">
      <w:pPr>
        <w:autoSpaceDE w:val="0"/>
        <w:autoSpaceDN w:val="0"/>
        <w:adjustRightInd w:val="0"/>
        <w:spacing w:after="0" w:line="240" w:lineRule="auto"/>
        <w:jc w:val="both"/>
        <w:rPr>
          <w:rFonts w:ascii="Arial" w:hAnsi="Arial" w:cs="Arial"/>
          <w:sz w:val="24"/>
          <w:szCs w:val="24"/>
        </w:rPr>
      </w:pPr>
      <w:r w:rsidRPr="00DE263D">
        <w:rPr>
          <w:rFonts w:ascii="Arial" w:hAnsi="Arial" w:cs="Arial"/>
          <w:sz w:val="24"/>
          <w:szCs w:val="24"/>
        </w:rPr>
        <w:t>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MUTAÇÕES DO PATRIMÔNIO LÍQUIDO</w:t>
      </w:r>
    </w:p>
    <w:p w:rsidR="00EF405C" w:rsidRDefault="00EF405C" w:rsidP="00EF405C">
      <w:pPr>
        <w:autoSpaceDE w:val="0"/>
        <w:autoSpaceDN w:val="0"/>
        <w:adjustRightInd w:val="0"/>
        <w:spacing w:after="0" w:line="240" w:lineRule="auto"/>
        <w:jc w:val="both"/>
        <w:rPr>
          <w:rFonts w:ascii="Arial" w:hAnsi="Arial" w:cs="Arial"/>
          <w:b/>
          <w:sz w:val="24"/>
          <w:szCs w:val="24"/>
        </w:rPr>
      </w:pPr>
    </w:p>
    <w:p w:rsidR="00EF405C" w:rsidRDefault="00EF405C" w:rsidP="00EF405C">
      <w:pPr>
        <w:autoSpaceDE w:val="0"/>
        <w:autoSpaceDN w:val="0"/>
        <w:adjustRightInd w:val="0"/>
        <w:spacing w:after="0" w:line="240" w:lineRule="auto"/>
        <w:jc w:val="both"/>
        <w:rPr>
          <w:rFonts w:ascii="Arial" w:hAnsi="Arial" w:cs="Arial"/>
          <w:b/>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Demonstração das Mutações no Patrimônio Líquido (DMPL) demonstrará a evolução (aumento ou redução) do patrimônio líquido da entidade durante um período.</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DMPL é obrigatória para as empresas estatais dependentes constituídas sob a forma de sociedades anônimas e facultativa para os demais órgãos e entidades dos entes da Federação.</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b/>
          <w:bCs/>
          <w:color w:val="215868" w:themeColor="accent5" w:themeShade="80"/>
          <w:sz w:val="24"/>
          <w:szCs w:val="24"/>
        </w:rPr>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26.</w:t>
      </w:r>
      <w:r w:rsidR="00EF405C">
        <w:rPr>
          <w:rFonts w:ascii="Arial" w:hAnsi="Arial" w:cs="Arial"/>
          <w:b/>
          <w:bCs/>
          <w:color w:val="215868" w:themeColor="accent5" w:themeShade="80"/>
          <w:sz w:val="24"/>
          <w:szCs w:val="24"/>
        </w:rPr>
        <w:t xml:space="preserve"> Capital/Patrimônio Social</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patrimônio social e capital social representam R$ 10.502.293,62 em 31 de dezembro de 2018.</w:t>
      </w:r>
    </w:p>
    <w:p w:rsidR="00EF405C" w:rsidRDefault="00EF405C" w:rsidP="00EF405C">
      <w:pPr>
        <w:autoSpaceDE w:val="0"/>
        <w:autoSpaceDN w:val="0"/>
        <w:adjustRightInd w:val="0"/>
        <w:spacing w:after="0" w:line="240" w:lineRule="auto"/>
        <w:jc w:val="both"/>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EF405C">
        <w:rPr>
          <w:rFonts w:ascii="Arial" w:hAnsi="Arial" w:cs="Arial"/>
          <w:b/>
          <w:bCs/>
          <w:color w:val="215868" w:themeColor="accent5" w:themeShade="80"/>
          <w:sz w:val="24"/>
          <w:szCs w:val="24"/>
        </w:rPr>
        <w:t xml:space="preserve"> Resultados Acumulados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O resultado do exercício pode ser assim demonstrado:</w:t>
      </w:r>
    </w:p>
    <w:p w:rsidR="00EF405C" w:rsidRDefault="00EF405C" w:rsidP="00EF405C">
      <w:pPr>
        <w:autoSpaceDE w:val="0"/>
        <w:autoSpaceDN w:val="0"/>
        <w:adjustRightInd w:val="0"/>
        <w:spacing w:after="0" w:line="240" w:lineRule="auto"/>
        <w:jc w:val="both"/>
      </w:pPr>
    </w:p>
    <w:tbl>
      <w:tblPr>
        <w:tblStyle w:val="TabeladeGrade4-nfase52"/>
        <w:tblW w:w="9072" w:type="dxa"/>
        <w:tblInd w:w="108" w:type="dxa"/>
        <w:tblLook w:val="04A0" w:firstRow="1" w:lastRow="0" w:firstColumn="1" w:lastColumn="0" w:noHBand="0" w:noVBand="1"/>
      </w:tblPr>
      <w:tblGrid>
        <w:gridCol w:w="4503"/>
        <w:gridCol w:w="4569"/>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hideMark/>
          </w:tcPr>
          <w:p w:rsidR="00EF405C" w:rsidRDefault="00EF405C">
            <w:pPr>
              <w:autoSpaceDE w:val="0"/>
              <w:autoSpaceDN w:val="0"/>
              <w:adjustRightInd w:val="0"/>
              <w:rPr>
                <w:rFonts w:ascii="Arial" w:hAnsi="Arial" w:cs="Arial"/>
                <w:b w:val="0"/>
                <w:color w:val="auto"/>
                <w:sz w:val="20"/>
                <w:szCs w:val="20"/>
              </w:rPr>
            </w:pPr>
            <w:r>
              <w:rPr>
                <w:rFonts w:ascii="Arial" w:hAnsi="Arial" w:cs="Arial"/>
                <w:b w:val="0"/>
                <w:color w:val="auto"/>
                <w:sz w:val="20"/>
                <w:szCs w:val="20"/>
              </w:rPr>
              <w:t>Variações Patrimoniais Diminutivas</w:t>
            </w:r>
          </w:p>
        </w:tc>
        <w:tc>
          <w:tcPr>
            <w:tcW w:w="4569" w:type="dxa"/>
            <w:hideMark/>
          </w:tcPr>
          <w:p w:rsidR="00EF405C" w:rsidRDefault="00EF405C">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-22.852.835,12</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Variações Patrimoniais Aumentativas</w:t>
            </w:r>
          </w:p>
        </w:tc>
        <w:tc>
          <w:tcPr>
            <w:tcW w:w="45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25.134.422,55</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Total</w:t>
            </w:r>
          </w:p>
        </w:tc>
        <w:tc>
          <w:tcPr>
            <w:tcW w:w="45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2.281.587,43</w:t>
            </w:r>
          </w:p>
        </w:tc>
      </w:tr>
    </w:tbl>
    <w:p w:rsidR="00EF405C" w:rsidRDefault="00EF405C" w:rsidP="00EF405C">
      <w:pPr>
        <w:autoSpaceDE w:val="0"/>
        <w:autoSpaceDN w:val="0"/>
        <w:adjustRightInd w:val="0"/>
        <w:spacing w:after="0" w:line="240" w:lineRule="auto"/>
        <w:jc w:val="both"/>
        <w:rPr>
          <w:sz w:val="20"/>
          <w:szCs w:val="20"/>
        </w:rPr>
      </w:pPr>
    </w:p>
    <w:p w:rsidR="00EB115B" w:rsidRDefault="00EB115B" w:rsidP="00EF405C">
      <w:pPr>
        <w:autoSpaceDE w:val="0"/>
        <w:autoSpaceDN w:val="0"/>
        <w:adjustRightInd w:val="0"/>
        <w:spacing w:after="0" w:line="240" w:lineRule="auto"/>
        <w:jc w:val="both"/>
        <w:rPr>
          <w:sz w:val="20"/>
          <w:szCs w:val="20"/>
        </w:rPr>
      </w:pPr>
    </w:p>
    <w:tbl>
      <w:tblPr>
        <w:tblStyle w:val="TabeladeGrade4-nfase52"/>
        <w:tblW w:w="9072" w:type="dxa"/>
        <w:tblInd w:w="108" w:type="dxa"/>
        <w:tblLook w:val="04A0" w:firstRow="1" w:lastRow="0" w:firstColumn="1" w:lastColumn="0" w:noHBand="0" w:noVBand="1"/>
      </w:tblPr>
      <w:tblGrid>
        <w:gridCol w:w="4395"/>
        <w:gridCol w:w="4677"/>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hideMark/>
          </w:tcPr>
          <w:p w:rsidR="00EF405C" w:rsidRDefault="00EF405C">
            <w:pPr>
              <w:autoSpaceDE w:val="0"/>
              <w:autoSpaceDN w:val="0"/>
              <w:adjustRightInd w:val="0"/>
              <w:rPr>
                <w:rFonts w:ascii="Arial" w:hAnsi="Arial" w:cs="Arial"/>
                <w:b w:val="0"/>
                <w:color w:val="auto"/>
                <w:sz w:val="20"/>
                <w:szCs w:val="20"/>
              </w:rPr>
            </w:pPr>
            <w:r>
              <w:rPr>
                <w:rFonts w:ascii="Arial" w:hAnsi="Arial" w:cs="Arial"/>
                <w:b w:val="0"/>
                <w:color w:val="auto"/>
                <w:sz w:val="20"/>
                <w:szCs w:val="20"/>
              </w:rPr>
              <w:t xml:space="preserve">Patrimônio Líquido Inicial </w:t>
            </w:r>
          </w:p>
        </w:tc>
        <w:tc>
          <w:tcPr>
            <w:tcW w:w="4677" w:type="dxa"/>
            <w:hideMark/>
          </w:tcPr>
          <w:p w:rsidR="00EF405C" w:rsidRDefault="00EF405C">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16.380.370,68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Resultado do Exercício</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2.281.587,43</w:t>
            </w:r>
          </w:p>
        </w:tc>
      </w:tr>
      <w:tr w:rsidR="00EF405C" w:rsidTr="00EF405C">
        <w:trPr>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Ajustes exercícios anteriores</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2.762.785,88</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Patrimônio Líquido Final</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21.424.743,99</w:t>
            </w:r>
          </w:p>
        </w:tc>
      </w:tr>
    </w:tbl>
    <w:p w:rsidR="00EF405C" w:rsidRDefault="00EF405C" w:rsidP="00EF405C">
      <w:pPr>
        <w:autoSpaceDE w:val="0"/>
        <w:autoSpaceDN w:val="0"/>
        <w:adjustRightInd w:val="0"/>
        <w:spacing w:after="0" w:line="240" w:lineRule="auto"/>
        <w:jc w:val="both"/>
      </w:pPr>
    </w:p>
    <w:p w:rsidR="00D14398"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Município em 2019, demonstrou alteração do Patrimônio Líquido positiva (credora), passando de R$ 16.380.370,68 em 2018, para R$ 21.424.743,99 em 2019. </w:t>
      </w:r>
    </w:p>
    <w:p w:rsidR="000F6949" w:rsidRDefault="000F6949" w:rsidP="00EF405C">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Essa alteração refere-se </w:t>
      </w:r>
      <w:r>
        <w:rPr>
          <w:rFonts w:ascii="Arial" w:hAnsi="Arial" w:cs="Arial"/>
          <w:sz w:val="24"/>
          <w:szCs w:val="24"/>
        </w:rPr>
        <w:t xml:space="preserve">a </w:t>
      </w:r>
      <w:r w:rsidRPr="00116D9A">
        <w:rPr>
          <w:rFonts w:ascii="Arial" w:hAnsi="Arial" w:cs="Arial"/>
          <w:sz w:val="24"/>
          <w:szCs w:val="24"/>
        </w:rPr>
        <w:t>resultado do exercício de 201</w:t>
      </w:r>
      <w:r>
        <w:rPr>
          <w:rFonts w:ascii="Arial" w:hAnsi="Arial" w:cs="Arial"/>
          <w:sz w:val="24"/>
          <w:szCs w:val="24"/>
        </w:rPr>
        <w:t xml:space="preserve">9 no valor de </w:t>
      </w:r>
      <w:r w:rsidR="00EB115B">
        <w:rPr>
          <w:rFonts w:ascii="Arial" w:hAnsi="Arial" w:cs="Arial"/>
          <w:sz w:val="24"/>
          <w:szCs w:val="24"/>
        </w:rPr>
        <w:t>R$ 2.281.587,43</w:t>
      </w:r>
      <w:r>
        <w:rPr>
          <w:rFonts w:ascii="Arial" w:hAnsi="Arial" w:cs="Arial"/>
          <w:sz w:val="24"/>
          <w:szCs w:val="24"/>
        </w:rPr>
        <w:t xml:space="preserve"> e referente ajuste de exercícios anteriore</w:t>
      </w:r>
      <w:r w:rsidR="00C335AA">
        <w:rPr>
          <w:rFonts w:ascii="Arial" w:hAnsi="Arial" w:cs="Arial"/>
          <w:sz w:val="24"/>
          <w:szCs w:val="24"/>
        </w:rPr>
        <w:t xml:space="preserve">s no montante de R$ </w:t>
      </w:r>
      <w:r w:rsidR="00EB115B" w:rsidRPr="00EB115B">
        <w:rPr>
          <w:rFonts w:ascii="Arial" w:hAnsi="Arial" w:cs="Arial"/>
          <w:sz w:val="24"/>
          <w:szCs w:val="24"/>
        </w:rPr>
        <w:t>2.762.785,88</w:t>
      </w:r>
      <w:r>
        <w:rPr>
          <w:rFonts w:ascii="Arial" w:hAnsi="Arial" w:cs="Arial"/>
          <w:sz w:val="24"/>
          <w:szCs w:val="24"/>
        </w:rPr>
        <w:t>.</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28.</w:t>
      </w:r>
      <w:r w:rsidR="00EF405C">
        <w:rPr>
          <w:rFonts w:ascii="Arial" w:hAnsi="Arial" w:cs="Arial"/>
          <w:b/>
          <w:bCs/>
          <w:color w:val="215868" w:themeColor="accent5" w:themeShade="80"/>
          <w:sz w:val="24"/>
          <w:szCs w:val="24"/>
        </w:rPr>
        <w:t xml:space="preserve"> Ajustes dos exercícios anteriores</w:t>
      </w:r>
    </w:p>
    <w:p w:rsidR="00EB115B" w:rsidRPr="00116D9A" w:rsidRDefault="00EB115B" w:rsidP="00EB115B">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oram realizados em 201</w:t>
      </w:r>
      <w:r>
        <w:rPr>
          <w:rFonts w:ascii="Arial" w:hAnsi="Arial" w:cs="Arial"/>
          <w:bCs/>
          <w:sz w:val="24"/>
          <w:szCs w:val="24"/>
        </w:rPr>
        <w:t>9,</w:t>
      </w:r>
      <w:r w:rsidRPr="00116D9A">
        <w:rPr>
          <w:rFonts w:ascii="Arial" w:hAnsi="Arial" w:cs="Arial"/>
          <w:bCs/>
          <w:sz w:val="24"/>
          <w:szCs w:val="24"/>
        </w:rPr>
        <w:t xml:space="preserve"> ajustes </w:t>
      </w:r>
      <w:r>
        <w:rPr>
          <w:rFonts w:ascii="Arial" w:hAnsi="Arial" w:cs="Arial"/>
          <w:bCs/>
          <w:sz w:val="24"/>
          <w:szCs w:val="24"/>
        </w:rPr>
        <w:t xml:space="preserve">patrimoniais de R$ 2.762.785,88, </w:t>
      </w:r>
      <w:r w:rsidRPr="00116D9A">
        <w:rPr>
          <w:rFonts w:ascii="Arial" w:hAnsi="Arial" w:cs="Arial"/>
          <w:bCs/>
          <w:sz w:val="24"/>
          <w:szCs w:val="24"/>
        </w:rPr>
        <w:t>decorrentes de</w:t>
      </w:r>
      <w:r>
        <w:rPr>
          <w:rFonts w:ascii="Arial" w:hAnsi="Arial" w:cs="Arial"/>
          <w:bCs/>
          <w:sz w:val="24"/>
          <w:szCs w:val="24"/>
        </w:rPr>
        <w:t xml:space="preserve"> ajustes necessários, com base na atualização física e contábil</w:t>
      </w:r>
      <w:r w:rsidR="000121F0">
        <w:rPr>
          <w:rFonts w:ascii="Arial" w:hAnsi="Arial" w:cs="Arial"/>
          <w:bCs/>
          <w:sz w:val="24"/>
          <w:szCs w:val="24"/>
        </w:rPr>
        <w:t xml:space="preserve"> do patrimônio</w:t>
      </w:r>
      <w:r>
        <w:rPr>
          <w:rFonts w:ascii="Arial" w:hAnsi="Arial" w:cs="Arial"/>
          <w:bCs/>
          <w:sz w:val="24"/>
          <w:szCs w:val="24"/>
        </w:rPr>
        <w:t xml:space="preserve"> realizado no exercício.</w:t>
      </w:r>
    </w:p>
    <w:p w:rsidR="00EF405C" w:rsidRDefault="00EF405C" w:rsidP="00EF405C">
      <w:pPr>
        <w:autoSpaceDE w:val="0"/>
        <w:autoSpaceDN w:val="0"/>
        <w:adjustRightInd w:val="0"/>
        <w:spacing w:after="0" w:line="240" w:lineRule="auto"/>
        <w:jc w:val="both"/>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EF405C">
        <w:rPr>
          <w:rFonts w:ascii="Arial" w:hAnsi="Arial" w:cs="Arial"/>
          <w:b/>
          <w:bCs/>
          <w:color w:val="215868" w:themeColor="accent5" w:themeShade="80"/>
          <w:sz w:val="24"/>
          <w:szCs w:val="24"/>
        </w:rPr>
        <w:t xml:space="preserve"> Ajustes de avaliação patrimonial</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Não houveram Ajustes de Avaliação Patrimonial.</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Pr="00EB115B" w:rsidRDefault="00EF405C" w:rsidP="00EF405C">
      <w:pPr>
        <w:spacing w:after="0" w:line="240" w:lineRule="auto"/>
        <w:rPr>
          <w:rFonts w:ascii="Bahnschrift" w:hAnsi="Bahnschrift" w:cs="Arial"/>
          <w:b/>
          <w:bCs/>
          <w:sz w:val="28"/>
          <w:szCs w:val="28"/>
        </w:rPr>
      </w:pPr>
      <w:r w:rsidRPr="00EB115B">
        <w:rPr>
          <w:rFonts w:ascii="Bahnschrift" w:hAnsi="Bahnschrift" w:cs="Arial"/>
          <w:b/>
          <w:bCs/>
          <w:sz w:val="28"/>
          <w:szCs w:val="28"/>
        </w:rPr>
        <w:t>CONSIDERAÇÕES FINAIS</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line="240" w:lineRule="auto"/>
        <w:jc w:val="both"/>
        <w:rPr>
          <w:rFonts w:ascii="Arial" w:hAnsi="Arial" w:cs="Arial"/>
          <w:sz w:val="24"/>
          <w:szCs w:val="24"/>
        </w:rPr>
      </w:pPr>
      <w:r>
        <w:rPr>
          <w:rFonts w:ascii="Arial" w:hAnsi="Arial" w:cs="Arial"/>
          <w:sz w:val="24"/>
          <w:szCs w:val="24"/>
        </w:rPr>
        <w:t>As demonstrações contábeis foram elaboradas atendendo a Lei Federal 4.320, de 17 de março de 1.964, as Normas Brasileiras de Contabilidade Aplicadas ao Setor Público, conforme exigências do Tribunal de Contas de Santa Catarina, TCE/SC.</w:t>
      </w:r>
    </w:p>
    <w:p w:rsidR="00EF405C" w:rsidRDefault="00EF405C" w:rsidP="00EF405C">
      <w:pPr>
        <w:spacing w:line="240" w:lineRule="auto"/>
        <w:jc w:val="both"/>
        <w:rPr>
          <w:rFonts w:ascii="Arial" w:hAnsi="Arial" w:cs="Arial"/>
        </w:rPr>
      </w:pPr>
    </w:p>
    <w:p w:rsidR="00B007FD" w:rsidRDefault="00B007FD" w:rsidP="00EF405C">
      <w:pPr>
        <w:spacing w:line="240" w:lineRule="auto"/>
        <w:jc w:val="both"/>
        <w:rPr>
          <w:rFonts w:ascii="Arial" w:hAnsi="Arial" w:cs="Arial"/>
        </w:rPr>
      </w:pPr>
    </w:p>
    <w:p w:rsidR="00EF405C" w:rsidRPr="00B007FD" w:rsidRDefault="00EF405C" w:rsidP="00EF405C">
      <w:pPr>
        <w:autoSpaceDE w:val="0"/>
        <w:autoSpaceDN w:val="0"/>
        <w:adjustRightInd w:val="0"/>
        <w:spacing w:after="0" w:line="240" w:lineRule="auto"/>
        <w:jc w:val="both"/>
        <w:rPr>
          <w:rFonts w:ascii="Arial" w:hAnsi="Arial" w:cs="Arial"/>
          <w:color w:val="215868" w:themeColor="accent5" w:themeShade="80"/>
          <w:sz w:val="24"/>
        </w:rPr>
      </w:pPr>
      <w:r w:rsidRPr="00B007FD">
        <w:rPr>
          <w:rFonts w:ascii="Arial" w:hAnsi="Arial" w:cs="Arial"/>
          <w:bCs/>
          <w:color w:val="215868" w:themeColor="accent5" w:themeShade="80"/>
          <w:sz w:val="24"/>
          <w:szCs w:val="24"/>
        </w:rPr>
        <w:t>SANTA TEREZI</w:t>
      </w:r>
      <w:bookmarkStart w:id="6" w:name="_GoBack"/>
      <w:bookmarkEnd w:id="6"/>
      <w:r w:rsidRPr="00B007FD">
        <w:rPr>
          <w:rFonts w:ascii="Arial" w:hAnsi="Arial" w:cs="Arial"/>
          <w:bCs/>
          <w:color w:val="215868" w:themeColor="accent5" w:themeShade="80"/>
          <w:sz w:val="24"/>
          <w:szCs w:val="24"/>
        </w:rPr>
        <w:t>NHA DO PROGRESSO</w:t>
      </w:r>
      <w:r w:rsidRPr="00B007FD">
        <w:rPr>
          <w:rFonts w:ascii="Arial" w:hAnsi="Arial" w:cs="Arial"/>
          <w:color w:val="215868" w:themeColor="accent5" w:themeShade="80"/>
          <w:sz w:val="24"/>
        </w:rPr>
        <w:t>, SC, 2</w:t>
      </w:r>
      <w:r w:rsidR="000121F0" w:rsidRPr="00B007FD">
        <w:rPr>
          <w:rFonts w:ascii="Arial" w:hAnsi="Arial" w:cs="Arial"/>
          <w:color w:val="215868" w:themeColor="accent5" w:themeShade="80"/>
          <w:sz w:val="24"/>
        </w:rPr>
        <w:t>7</w:t>
      </w:r>
      <w:r w:rsidRPr="00B007FD">
        <w:rPr>
          <w:rFonts w:ascii="Arial" w:hAnsi="Arial" w:cs="Arial"/>
          <w:color w:val="215868" w:themeColor="accent5" w:themeShade="80"/>
          <w:sz w:val="24"/>
        </w:rPr>
        <w:t xml:space="preserve"> de fevereiro de 2020.</w:t>
      </w: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pStyle w:val="SemEspaamento"/>
        <w:rPr>
          <w:rFonts w:ascii="Arial" w:hAnsi="Arial" w:cs="Arial"/>
          <w:b/>
        </w:rPr>
      </w:pPr>
      <w:r>
        <w:rPr>
          <w:rFonts w:ascii="Arial" w:hAnsi="Arial" w:cs="Arial"/>
          <w:b/>
        </w:rPr>
        <w:t>IVA ADRIANA SCHLÖSSER SEGUETO</w:t>
      </w:r>
      <w:r>
        <w:rPr>
          <w:rFonts w:ascii="Arial" w:hAnsi="Arial" w:cs="Arial"/>
          <w:b/>
        </w:rPr>
        <w:tab/>
        <w:t xml:space="preserve">                             DERLI FURTADO              </w:t>
      </w:r>
    </w:p>
    <w:p w:rsidR="00EF405C" w:rsidRPr="00116D9A" w:rsidRDefault="00EF405C" w:rsidP="00EF405C">
      <w:pPr>
        <w:pStyle w:val="SemEspaamento"/>
        <w:rPr>
          <w:rFonts w:ascii="Arial" w:hAnsi="Arial" w:cs="Arial"/>
          <w:bCs/>
          <w:sz w:val="24"/>
          <w:szCs w:val="24"/>
        </w:rPr>
      </w:pP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lang w:val="es-ES_tradnl"/>
        </w:rPr>
        <w:t>CRC/SC 026497/O-2</w:t>
      </w:r>
      <w:r>
        <w:rPr>
          <w:rFonts w:ascii="Arial" w:hAnsi="Arial" w:cs="Arial"/>
          <w:b/>
          <w:bCs/>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rPr>
        <w:t>PREFEITO</w:t>
      </w:r>
    </w:p>
    <w:sectPr w:rsidR="00EF405C" w:rsidRPr="00116D9A" w:rsidSect="00AB5761">
      <w:headerReference w:type="default" r:id="rId13"/>
      <w:type w:val="continuous"/>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C0" w:rsidRDefault="00ED1AC0" w:rsidP="00593AAB">
      <w:pPr>
        <w:spacing w:after="0" w:line="240" w:lineRule="auto"/>
      </w:pPr>
      <w:r>
        <w:separator/>
      </w:r>
    </w:p>
  </w:endnote>
  <w:endnote w:type="continuationSeparator" w:id="0">
    <w:p w:rsidR="00ED1AC0" w:rsidRDefault="00ED1AC0" w:rsidP="0059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hnschrift SemiBold">
    <w:altName w:val="Segoe UI"/>
    <w:charset w:val="00"/>
    <w:family w:val="swiss"/>
    <w:pitch w:val="variable"/>
    <w:sig w:usb0="00000001"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C0" w:rsidRDefault="00ED1AC0" w:rsidP="00593AAB">
      <w:pPr>
        <w:spacing w:after="0" w:line="240" w:lineRule="auto"/>
      </w:pPr>
      <w:r>
        <w:separator/>
      </w:r>
    </w:p>
  </w:footnote>
  <w:footnote w:type="continuationSeparator" w:id="0">
    <w:p w:rsidR="00ED1AC0" w:rsidRDefault="00ED1AC0" w:rsidP="0059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7922"/>
      <w:gridCol w:w="7922"/>
    </w:tblGrid>
    <w:tr w:rsidR="00E910C5" w:rsidTr="00AC2E48">
      <w:trPr>
        <w:trHeight w:val="1560"/>
      </w:trPr>
      <w:tc>
        <w:tcPr>
          <w:tcW w:w="2109" w:type="dxa"/>
        </w:tcPr>
        <w:p w:rsidR="00E910C5" w:rsidRDefault="00E910C5" w:rsidP="00EC7B5A">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9" name="Imagem 9"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E910C5" w:rsidRDefault="00E910C5" w:rsidP="00EC7B5A">
          <w:pPr>
            <w:pStyle w:val="Cabealho"/>
            <w:jc w:val="both"/>
            <w:rPr>
              <w:b/>
            </w:rPr>
          </w:pPr>
          <w:r>
            <w:rPr>
              <w:b/>
            </w:rPr>
            <w:t>MUNICÍPIO DE SANTA TEREZINHA DO PROGRESSO, SC</w:t>
          </w:r>
        </w:p>
        <w:p w:rsidR="00E910C5" w:rsidRDefault="00E910C5" w:rsidP="00EC7B5A">
          <w:pPr>
            <w:pStyle w:val="Cabealho"/>
            <w:jc w:val="both"/>
            <w:rPr>
              <w:b/>
            </w:rPr>
          </w:pPr>
          <w:r w:rsidRPr="00CE25CD">
            <w:rPr>
              <w:b/>
            </w:rPr>
            <w:t xml:space="preserve">Avenida Tancredo Neves, 337 </w:t>
          </w:r>
          <w:r>
            <w:rPr>
              <w:b/>
            </w:rPr>
            <w:t>–</w:t>
          </w:r>
          <w:r w:rsidRPr="00CE25CD">
            <w:rPr>
              <w:b/>
            </w:rPr>
            <w:t xml:space="preserve"> Centro</w:t>
          </w:r>
        </w:p>
        <w:p w:rsidR="00E910C5" w:rsidRDefault="00E910C5" w:rsidP="00EC7B5A">
          <w:pPr>
            <w:pStyle w:val="Cabealho"/>
            <w:jc w:val="both"/>
            <w:rPr>
              <w:b/>
            </w:rPr>
          </w:pPr>
          <w:r>
            <w:rPr>
              <w:b/>
            </w:rPr>
            <w:t>CEP: 89.983-000</w:t>
          </w:r>
        </w:p>
        <w:p w:rsidR="00E910C5" w:rsidRDefault="00E910C5" w:rsidP="00EC7B5A">
          <w:pPr>
            <w:pStyle w:val="Cabealho"/>
            <w:jc w:val="both"/>
          </w:pPr>
          <w:r>
            <w:rPr>
              <w:b/>
            </w:rPr>
            <w:t>Telefone: (49) 3657-0001</w:t>
          </w:r>
        </w:p>
      </w:tc>
      <w:tc>
        <w:tcPr>
          <w:tcW w:w="7922" w:type="dxa"/>
        </w:tcPr>
        <w:p w:rsidR="00E910C5" w:rsidRDefault="00E910C5" w:rsidP="00EC7B5A">
          <w:pPr>
            <w:pStyle w:val="Cabealho"/>
            <w:jc w:val="both"/>
          </w:pPr>
        </w:p>
      </w:tc>
    </w:tr>
  </w:tbl>
  <w:p w:rsidR="00E910C5" w:rsidRDefault="00E910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C4244"/>
    <w:multiLevelType w:val="hybridMultilevel"/>
    <w:tmpl w:val="A2A62578"/>
    <w:lvl w:ilvl="0" w:tplc="F9AA92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0">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7B13FA4"/>
    <w:multiLevelType w:val="hybridMultilevel"/>
    <w:tmpl w:val="ABDC80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A26985"/>
    <w:multiLevelType w:val="hybridMultilevel"/>
    <w:tmpl w:val="2E40CAB6"/>
    <w:lvl w:ilvl="0" w:tplc="C34242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4C5A42"/>
    <w:multiLevelType w:val="hybridMultilevel"/>
    <w:tmpl w:val="68D40FB0"/>
    <w:lvl w:ilvl="0" w:tplc="58B0E1BC">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nsid w:val="5301088F"/>
    <w:multiLevelType w:val="hybridMultilevel"/>
    <w:tmpl w:val="4554286A"/>
    <w:lvl w:ilvl="0" w:tplc="6C2657F8">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3">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C90E3E"/>
    <w:multiLevelType w:val="multilevel"/>
    <w:tmpl w:val="428A272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2"/>
  </w:num>
  <w:num w:numId="3">
    <w:abstractNumId w:val="7"/>
  </w:num>
  <w:num w:numId="4">
    <w:abstractNumId w:val="15"/>
  </w:num>
  <w:num w:numId="5">
    <w:abstractNumId w:val="6"/>
  </w:num>
  <w:num w:numId="6">
    <w:abstractNumId w:val="25"/>
  </w:num>
  <w:num w:numId="7">
    <w:abstractNumId w:val="16"/>
  </w:num>
  <w:num w:numId="8">
    <w:abstractNumId w:val="20"/>
  </w:num>
  <w:num w:numId="9">
    <w:abstractNumId w:val="10"/>
  </w:num>
  <w:num w:numId="10">
    <w:abstractNumId w:val="13"/>
  </w:num>
  <w:num w:numId="11">
    <w:abstractNumId w:val="3"/>
  </w:num>
  <w:num w:numId="12">
    <w:abstractNumId w:val="0"/>
  </w:num>
  <w:num w:numId="13">
    <w:abstractNumId w:val="2"/>
  </w:num>
  <w:num w:numId="14">
    <w:abstractNumId w:val="21"/>
  </w:num>
  <w:num w:numId="15">
    <w:abstractNumId w:val="23"/>
  </w:num>
  <w:num w:numId="16">
    <w:abstractNumId w:val="12"/>
  </w:num>
  <w:num w:numId="17">
    <w:abstractNumId w:val="8"/>
  </w:num>
  <w:num w:numId="18">
    <w:abstractNumId w:val="26"/>
  </w:num>
  <w:num w:numId="19">
    <w:abstractNumId w:val="9"/>
  </w:num>
  <w:num w:numId="20">
    <w:abstractNumId w:val="1"/>
  </w:num>
  <w:num w:numId="21">
    <w:abstractNumId w:val="14"/>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C88"/>
    <w:rsid w:val="000001A1"/>
    <w:rsid w:val="00002417"/>
    <w:rsid w:val="00011237"/>
    <w:rsid w:val="0001157C"/>
    <w:rsid w:val="000121F0"/>
    <w:rsid w:val="00015DAE"/>
    <w:rsid w:val="00020471"/>
    <w:rsid w:val="00020A25"/>
    <w:rsid w:val="0003004F"/>
    <w:rsid w:val="000331D5"/>
    <w:rsid w:val="00034636"/>
    <w:rsid w:val="00034B81"/>
    <w:rsid w:val="0003510F"/>
    <w:rsid w:val="00035BAC"/>
    <w:rsid w:val="00035EC3"/>
    <w:rsid w:val="0004209D"/>
    <w:rsid w:val="000439F3"/>
    <w:rsid w:val="000444E5"/>
    <w:rsid w:val="00051DC3"/>
    <w:rsid w:val="00051E96"/>
    <w:rsid w:val="00055044"/>
    <w:rsid w:val="00055CA0"/>
    <w:rsid w:val="0005625A"/>
    <w:rsid w:val="00056926"/>
    <w:rsid w:val="00056B91"/>
    <w:rsid w:val="00060096"/>
    <w:rsid w:val="00060291"/>
    <w:rsid w:val="00060396"/>
    <w:rsid w:val="000630ED"/>
    <w:rsid w:val="00064B86"/>
    <w:rsid w:val="000671F7"/>
    <w:rsid w:val="00071009"/>
    <w:rsid w:val="00072A9A"/>
    <w:rsid w:val="000805E5"/>
    <w:rsid w:val="00081148"/>
    <w:rsid w:val="00082DF2"/>
    <w:rsid w:val="00083FDF"/>
    <w:rsid w:val="000842D3"/>
    <w:rsid w:val="000850A6"/>
    <w:rsid w:val="000A1263"/>
    <w:rsid w:val="000A1ED3"/>
    <w:rsid w:val="000A41F0"/>
    <w:rsid w:val="000B004F"/>
    <w:rsid w:val="000B0355"/>
    <w:rsid w:val="000B04B8"/>
    <w:rsid w:val="000B2A4E"/>
    <w:rsid w:val="000B3C0D"/>
    <w:rsid w:val="000B4105"/>
    <w:rsid w:val="000B5FB7"/>
    <w:rsid w:val="000B7AA9"/>
    <w:rsid w:val="000C16DB"/>
    <w:rsid w:val="000C1B34"/>
    <w:rsid w:val="000C1F97"/>
    <w:rsid w:val="000C46AF"/>
    <w:rsid w:val="000C76F3"/>
    <w:rsid w:val="000D5731"/>
    <w:rsid w:val="000D6627"/>
    <w:rsid w:val="000D6CF1"/>
    <w:rsid w:val="000E008D"/>
    <w:rsid w:val="000E5B8F"/>
    <w:rsid w:val="000F330A"/>
    <w:rsid w:val="000F6949"/>
    <w:rsid w:val="000F6C86"/>
    <w:rsid w:val="000F7755"/>
    <w:rsid w:val="000F77E9"/>
    <w:rsid w:val="00102E16"/>
    <w:rsid w:val="001033F1"/>
    <w:rsid w:val="0010357B"/>
    <w:rsid w:val="00103A6F"/>
    <w:rsid w:val="001041C9"/>
    <w:rsid w:val="00104960"/>
    <w:rsid w:val="00104F48"/>
    <w:rsid w:val="00107DA0"/>
    <w:rsid w:val="00107EA8"/>
    <w:rsid w:val="00113BB9"/>
    <w:rsid w:val="00116D9A"/>
    <w:rsid w:val="00117F8D"/>
    <w:rsid w:val="00126F46"/>
    <w:rsid w:val="00130362"/>
    <w:rsid w:val="00130FCA"/>
    <w:rsid w:val="001326E5"/>
    <w:rsid w:val="0013484A"/>
    <w:rsid w:val="00140A18"/>
    <w:rsid w:val="001419CB"/>
    <w:rsid w:val="0014323E"/>
    <w:rsid w:val="00143E39"/>
    <w:rsid w:val="001444CE"/>
    <w:rsid w:val="00144BCC"/>
    <w:rsid w:val="00147996"/>
    <w:rsid w:val="00147F62"/>
    <w:rsid w:val="00150A62"/>
    <w:rsid w:val="00151C72"/>
    <w:rsid w:val="00152D14"/>
    <w:rsid w:val="0015591C"/>
    <w:rsid w:val="00155D1F"/>
    <w:rsid w:val="00155FFA"/>
    <w:rsid w:val="00156DDA"/>
    <w:rsid w:val="00160074"/>
    <w:rsid w:val="001627C2"/>
    <w:rsid w:val="00162900"/>
    <w:rsid w:val="00166AAB"/>
    <w:rsid w:val="00167280"/>
    <w:rsid w:val="00173F50"/>
    <w:rsid w:val="0017475F"/>
    <w:rsid w:val="0017548B"/>
    <w:rsid w:val="001775B2"/>
    <w:rsid w:val="00177FEE"/>
    <w:rsid w:val="00183163"/>
    <w:rsid w:val="0018406B"/>
    <w:rsid w:val="001902E7"/>
    <w:rsid w:val="00191812"/>
    <w:rsid w:val="00193293"/>
    <w:rsid w:val="00195922"/>
    <w:rsid w:val="001A008C"/>
    <w:rsid w:val="001A12E6"/>
    <w:rsid w:val="001A5C0C"/>
    <w:rsid w:val="001A6293"/>
    <w:rsid w:val="001A62E5"/>
    <w:rsid w:val="001A6DC7"/>
    <w:rsid w:val="001B035D"/>
    <w:rsid w:val="001B463B"/>
    <w:rsid w:val="001B768F"/>
    <w:rsid w:val="001B7839"/>
    <w:rsid w:val="001C29E6"/>
    <w:rsid w:val="001C40AA"/>
    <w:rsid w:val="001C5243"/>
    <w:rsid w:val="001C57CF"/>
    <w:rsid w:val="001C585D"/>
    <w:rsid w:val="001C6822"/>
    <w:rsid w:val="001C782F"/>
    <w:rsid w:val="001D184E"/>
    <w:rsid w:val="001D30D3"/>
    <w:rsid w:val="001D4FFB"/>
    <w:rsid w:val="001E0BD2"/>
    <w:rsid w:val="001E3B35"/>
    <w:rsid w:val="001E5ECE"/>
    <w:rsid w:val="001E7050"/>
    <w:rsid w:val="001F3191"/>
    <w:rsid w:val="001F49AF"/>
    <w:rsid w:val="001F74AA"/>
    <w:rsid w:val="0020019E"/>
    <w:rsid w:val="00200E4D"/>
    <w:rsid w:val="00202977"/>
    <w:rsid w:val="0021407E"/>
    <w:rsid w:val="00214563"/>
    <w:rsid w:val="002158E2"/>
    <w:rsid w:val="00220479"/>
    <w:rsid w:val="00221DAC"/>
    <w:rsid w:val="00222FAC"/>
    <w:rsid w:val="00232709"/>
    <w:rsid w:val="00235924"/>
    <w:rsid w:val="00236464"/>
    <w:rsid w:val="00237D0B"/>
    <w:rsid w:val="0024037D"/>
    <w:rsid w:val="00241585"/>
    <w:rsid w:val="00241D39"/>
    <w:rsid w:val="00242B6C"/>
    <w:rsid w:val="00242BA4"/>
    <w:rsid w:val="00243F38"/>
    <w:rsid w:val="00246024"/>
    <w:rsid w:val="00247251"/>
    <w:rsid w:val="002479C1"/>
    <w:rsid w:val="00247E2E"/>
    <w:rsid w:val="002505F8"/>
    <w:rsid w:val="00250ED5"/>
    <w:rsid w:val="00251C87"/>
    <w:rsid w:val="0025265B"/>
    <w:rsid w:val="00253235"/>
    <w:rsid w:val="00261753"/>
    <w:rsid w:val="00262489"/>
    <w:rsid w:val="00262ED6"/>
    <w:rsid w:val="0026351F"/>
    <w:rsid w:val="00263A2F"/>
    <w:rsid w:val="00271762"/>
    <w:rsid w:val="0027246C"/>
    <w:rsid w:val="002751EF"/>
    <w:rsid w:val="00275834"/>
    <w:rsid w:val="0028235C"/>
    <w:rsid w:val="00284517"/>
    <w:rsid w:val="00287D31"/>
    <w:rsid w:val="0029438D"/>
    <w:rsid w:val="00295397"/>
    <w:rsid w:val="002A05BE"/>
    <w:rsid w:val="002A2293"/>
    <w:rsid w:val="002A4206"/>
    <w:rsid w:val="002B0838"/>
    <w:rsid w:val="002B39D6"/>
    <w:rsid w:val="002B647D"/>
    <w:rsid w:val="002B6A56"/>
    <w:rsid w:val="002B7403"/>
    <w:rsid w:val="002B7B6D"/>
    <w:rsid w:val="002C1016"/>
    <w:rsid w:val="002C35C3"/>
    <w:rsid w:val="002C6F34"/>
    <w:rsid w:val="002D2FAE"/>
    <w:rsid w:val="002D55DC"/>
    <w:rsid w:val="002D5789"/>
    <w:rsid w:val="002D761B"/>
    <w:rsid w:val="002D7D71"/>
    <w:rsid w:val="002D7DB6"/>
    <w:rsid w:val="002E03EC"/>
    <w:rsid w:val="002E1D23"/>
    <w:rsid w:val="002E30D0"/>
    <w:rsid w:val="002E6568"/>
    <w:rsid w:val="002E7832"/>
    <w:rsid w:val="002F070A"/>
    <w:rsid w:val="002F13A3"/>
    <w:rsid w:val="002F2352"/>
    <w:rsid w:val="002F34D6"/>
    <w:rsid w:val="002F5B55"/>
    <w:rsid w:val="002F7E2C"/>
    <w:rsid w:val="003045BE"/>
    <w:rsid w:val="0030502F"/>
    <w:rsid w:val="003066BE"/>
    <w:rsid w:val="003077BA"/>
    <w:rsid w:val="00313DBF"/>
    <w:rsid w:val="0032339B"/>
    <w:rsid w:val="00323AA4"/>
    <w:rsid w:val="003243A3"/>
    <w:rsid w:val="0032702C"/>
    <w:rsid w:val="003303AE"/>
    <w:rsid w:val="00333898"/>
    <w:rsid w:val="00334449"/>
    <w:rsid w:val="00336A4D"/>
    <w:rsid w:val="003415FF"/>
    <w:rsid w:val="00341A37"/>
    <w:rsid w:val="0034286F"/>
    <w:rsid w:val="00342E82"/>
    <w:rsid w:val="003450D0"/>
    <w:rsid w:val="00346053"/>
    <w:rsid w:val="00346A3D"/>
    <w:rsid w:val="00347FB6"/>
    <w:rsid w:val="00351C22"/>
    <w:rsid w:val="00351D29"/>
    <w:rsid w:val="003525B8"/>
    <w:rsid w:val="00352BCA"/>
    <w:rsid w:val="003530BB"/>
    <w:rsid w:val="00353F1A"/>
    <w:rsid w:val="00353F38"/>
    <w:rsid w:val="00354D18"/>
    <w:rsid w:val="00357ED9"/>
    <w:rsid w:val="00360761"/>
    <w:rsid w:val="00363660"/>
    <w:rsid w:val="00371B04"/>
    <w:rsid w:val="0037223C"/>
    <w:rsid w:val="0037410D"/>
    <w:rsid w:val="00376C88"/>
    <w:rsid w:val="00376F5C"/>
    <w:rsid w:val="00380BFF"/>
    <w:rsid w:val="00380EA9"/>
    <w:rsid w:val="00382831"/>
    <w:rsid w:val="00383690"/>
    <w:rsid w:val="00385880"/>
    <w:rsid w:val="003877AE"/>
    <w:rsid w:val="00391DA1"/>
    <w:rsid w:val="00395B3C"/>
    <w:rsid w:val="003A0148"/>
    <w:rsid w:val="003A0F1D"/>
    <w:rsid w:val="003A1177"/>
    <w:rsid w:val="003A142B"/>
    <w:rsid w:val="003A6484"/>
    <w:rsid w:val="003A707B"/>
    <w:rsid w:val="003A75D6"/>
    <w:rsid w:val="003A7A1F"/>
    <w:rsid w:val="003B0030"/>
    <w:rsid w:val="003B348C"/>
    <w:rsid w:val="003B3E3D"/>
    <w:rsid w:val="003B6DC6"/>
    <w:rsid w:val="003B7928"/>
    <w:rsid w:val="003C4CC7"/>
    <w:rsid w:val="003D438E"/>
    <w:rsid w:val="003D55FA"/>
    <w:rsid w:val="003D7613"/>
    <w:rsid w:val="003E12B3"/>
    <w:rsid w:val="003E4085"/>
    <w:rsid w:val="003E4C6F"/>
    <w:rsid w:val="003E4F35"/>
    <w:rsid w:val="003E51ED"/>
    <w:rsid w:val="003E7624"/>
    <w:rsid w:val="003F5DF8"/>
    <w:rsid w:val="003F68EB"/>
    <w:rsid w:val="00400C73"/>
    <w:rsid w:val="004013F7"/>
    <w:rsid w:val="004033FD"/>
    <w:rsid w:val="004067A8"/>
    <w:rsid w:val="004113E6"/>
    <w:rsid w:val="004116B9"/>
    <w:rsid w:val="004143CF"/>
    <w:rsid w:val="00416CA0"/>
    <w:rsid w:val="00421DFD"/>
    <w:rsid w:val="004232F4"/>
    <w:rsid w:val="00426C75"/>
    <w:rsid w:val="00426F2E"/>
    <w:rsid w:val="00430C14"/>
    <w:rsid w:val="004438BC"/>
    <w:rsid w:val="00445DB9"/>
    <w:rsid w:val="004513FF"/>
    <w:rsid w:val="004522BA"/>
    <w:rsid w:val="0045755E"/>
    <w:rsid w:val="00457F93"/>
    <w:rsid w:val="00461CA5"/>
    <w:rsid w:val="00463372"/>
    <w:rsid w:val="00467922"/>
    <w:rsid w:val="00467EE2"/>
    <w:rsid w:val="00467F85"/>
    <w:rsid w:val="00471C3C"/>
    <w:rsid w:val="0047291A"/>
    <w:rsid w:val="0047544C"/>
    <w:rsid w:val="00476032"/>
    <w:rsid w:val="0048387F"/>
    <w:rsid w:val="0048543E"/>
    <w:rsid w:val="00486C07"/>
    <w:rsid w:val="00487B11"/>
    <w:rsid w:val="004953C1"/>
    <w:rsid w:val="00495D46"/>
    <w:rsid w:val="00496382"/>
    <w:rsid w:val="004A11D8"/>
    <w:rsid w:val="004A4223"/>
    <w:rsid w:val="004A566D"/>
    <w:rsid w:val="004B057C"/>
    <w:rsid w:val="004B6833"/>
    <w:rsid w:val="004B7D60"/>
    <w:rsid w:val="004C0266"/>
    <w:rsid w:val="004C06DF"/>
    <w:rsid w:val="004C16F6"/>
    <w:rsid w:val="004C34DD"/>
    <w:rsid w:val="004C6F74"/>
    <w:rsid w:val="004C770D"/>
    <w:rsid w:val="004D1052"/>
    <w:rsid w:val="004D4458"/>
    <w:rsid w:val="004D5413"/>
    <w:rsid w:val="004D7C7A"/>
    <w:rsid w:val="004E29D7"/>
    <w:rsid w:val="004F3763"/>
    <w:rsid w:val="004F43F6"/>
    <w:rsid w:val="005027A8"/>
    <w:rsid w:val="005070EC"/>
    <w:rsid w:val="005127FC"/>
    <w:rsid w:val="0052516C"/>
    <w:rsid w:val="005254A5"/>
    <w:rsid w:val="0053030A"/>
    <w:rsid w:val="005346DD"/>
    <w:rsid w:val="00535490"/>
    <w:rsid w:val="005370B5"/>
    <w:rsid w:val="005428E3"/>
    <w:rsid w:val="00542D28"/>
    <w:rsid w:val="00543208"/>
    <w:rsid w:val="0054489F"/>
    <w:rsid w:val="00544947"/>
    <w:rsid w:val="00544CEA"/>
    <w:rsid w:val="00545087"/>
    <w:rsid w:val="005461E0"/>
    <w:rsid w:val="00556C23"/>
    <w:rsid w:val="005574CF"/>
    <w:rsid w:val="00561DBF"/>
    <w:rsid w:val="00564C54"/>
    <w:rsid w:val="00565C2E"/>
    <w:rsid w:val="005762C8"/>
    <w:rsid w:val="00577E79"/>
    <w:rsid w:val="005817C7"/>
    <w:rsid w:val="00582CA5"/>
    <w:rsid w:val="005854F0"/>
    <w:rsid w:val="005871BC"/>
    <w:rsid w:val="00587BBF"/>
    <w:rsid w:val="00591FF0"/>
    <w:rsid w:val="0059254C"/>
    <w:rsid w:val="00593AAB"/>
    <w:rsid w:val="005949C7"/>
    <w:rsid w:val="00594F2D"/>
    <w:rsid w:val="005951D6"/>
    <w:rsid w:val="005955A3"/>
    <w:rsid w:val="00596CE7"/>
    <w:rsid w:val="00597268"/>
    <w:rsid w:val="005A0557"/>
    <w:rsid w:val="005A2BCB"/>
    <w:rsid w:val="005A4F32"/>
    <w:rsid w:val="005A63BA"/>
    <w:rsid w:val="005A79AB"/>
    <w:rsid w:val="005B0526"/>
    <w:rsid w:val="005B2D94"/>
    <w:rsid w:val="005B3E63"/>
    <w:rsid w:val="005B61C8"/>
    <w:rsid w:val="005D0D97"/>
    <w:rsid w:val="005D1FE7"/>
    <w:rsid w:val="005D2CCD"/>
    <w:rsid w:val="005D415A"/>
    <w:rsid w:val="005D4DCC"/>
    <w:rsid w:val="005D6CAA"/>
    <w:rsid w:val="005E02CA"/>
    <w:rsid w:val="005E10AA"/>
    <w:rsid w:val="005E1134"/>
    <w:rsid w:val="005E53D5"/>
    <w:rsid w:val="005E6BBC"/>
    <w:rsid w:val="005F0BD0"/>
    <w:rsid w:val="005F1374"/>
    <w:rsid w:val="005F1451"/>
    <w:rsid w:val="005F1CEE"/>
    <w:rsid w:val="005F2CB3"/>
    <w:rsid w:val="005F5781"/>
    <w:rsid w:val="006005DB"/>
    <w:rsid w:val="0060195B"/>
    <w:rsid w:val="006030B4"/>
    <w:rsid w:val="00604E41"/>
    <w:rsid w:val="006069EB"/>
    <w:rsid w:val="00606AD9"/>
    <w:rsid w:val="0060731E"/>
    <w:rsid w:val="00607491"/>
    <w:rsid w:val="006075D1"/>
    <w:rsid w:val="006162F4"/>
    <w:rsid w:val="0061739C"/>
    <w:rsid w:val="00621245"/>
    <w:rsid w:val="006222B6"/>
    <w:rsid w:val="006225F3"/>
    <w:rsid w:val="00622D87"/>
    <w:rsid w:val="00625F86"/>
    <w:rsid w:val="006278CD"/>
    <w:rsid w:val="00630DAA"/>
    <w:rsid w:val="0063743D"/>
    <w:rsid w:val="00637610"/>
    <w:rsid w:val="00640FFA"/>
    <w:rsid w:val="00643C3D"/>
    <w:rsid w:val="0064432E"/>
    <w:rsid w:val="00644F32"/>
    <w:rsid w:val="00645C64"/>
    <w:rsid w:val="006552D6"/>
    <w:rsid w:val="0065608C"/>
    <w:rsid w:val="0065737A"/>
    <w:rsid w:val="00660ABF"/>
    <w:rsid w:val="006670E9"/>
    <w:rsid w:val="00667AE1"/>
    <w:rsid w:val="0067090F"/>
    <w:rsid w:val="00671BF9"/>
    <w:rsid w:val="006733DA"/>
    <w:rsid w:val="00674F19"/>
    <w:rsid w:val="0068774D"/>
    <w:rsid w:val="00692951"/>
    <w:rsid w:val="00692DB0"/>
    <w:rsid w:val="00693195"/>
    <w:rsid w:val="00696DF5"/>
    <w:rsid w:val="006971B1"/>
    <w:rsid w:val="006A4AA6"/>
    <w:rsid w:val="006B6B1E"/>
    <w:rsid w:val="006C0018"/>
    <w:rsid w:val="006C2D14"/>
    <w:rsid w:val="006C7F2A"/>
    <w:rsid w:val="006D039B"/>
    <w:rsid w:val="006D30DE"/>
    <w:rsid w:val="006D38F0"/>
    <w:rsid w:val="006D486E"/>
    <w:rsid w:val="006D66DC"/>
    <w:rsid w:val="006D6B0C"/>
    <w:rsid w:val="006E0ACB"/>
    <w:rsid w:val="006E1D07"/>
    <w:rsid w:val="006E41ED"/>
    <w:rsid w:val="006E44D9"/>
    <w:rsid w:val="006E4BFE"/>
    <w:rsid w:val="006E5B04"/>
    <w:rsid w:val="006E7B02"/>
    <w:rsid w:val="006F4ED2"/>
    <w:rsid w:val="006F6D84"/>
    <w:rsid w:val="0070232D"/>
    <w:rsid w:val="0070406E"/>
    <w:rsid w:val="007114C6"/>
    <w:rsid w:val="00715764"/>
    <w:rsid w:val="00716B6C"/>
    <w:rsid w:val="00716BD6"/>
    <w:rsid w:val="007223EE"/>
    <w:rsid w:val="00724CAF"/>
    <w:rsid w:val="00724D92"/>
    <w:rsid w:val="00725E2B"/>
    <w:rsid w:val="007260E4"/>
    <w:rsid w:val="007278BC"/>
    <w:rsid w:val="00727D8C"/>
    <w:rsid w:val="00730D7E"/>
    <w:rsid w:val="0073120C"/>
    <w:rsid w:val="007316BF"/>
    <w:rsid w:val="00731D54"/>
    <w:rsid w:val="00733D94"/>
    <w:rsid w:val="007350FD"/>
    <w:rsid w:val="00735448"/>
    <w:rsid w:val="00737254"/>
    <w:rsid w:val="00740456"/>
    <w:rsid w:val="007427C0"/>
    <w:rsid w:val="00744919"/>
    <w:rsid w:val="00745D2E"/>
    <w:rsid w:val="00747E93"/>
    <w:rsid w:val="00747F25"/>
    <w:rsid w:val="0075115C"/>
    <w:rsid w:val="007527C6"/>
    <w:rsid w:val="00752A68"/>
    <w:rsid w:val="00756F54"/>
    <w:rsid w:val="0075701A"/>
    <w:rsid w:val="00757BDC"/>
    <w:rsid w:val="00760510"/>
    <w:rsid w:val="00764DF2"/>
    <w:rsid w:val="007656E7"/>
    <w:rsid w:val="00765ACF"/>
    <w:rsid w:val="00770D57"/>
    <w:rsid w:val="00770DD1"/>
    <w:rsid w:val="00771087"/>
    <w:rsid w:val="007718A1"/>
    <w:rsid w:val="00775A77"/>
    <w:rsid w:val="007763E6"/>
    <w:rsid w:val="00777BDF"/>
    <w:rsid w:val="00777F87"/>
    <w:rsid w:val="00780176"/>
    <w:rsid w:val="00780CC3"/>
    <w:rsid w:val="00781BAF"/>
    <w:rsid w:val="00781C82"/>
    <w:rsid w:val="00781EAF"/>
    <w:rsid w:val="00781F22"/>
    <w:rsid w:val="007825F2"/>
    <w:rsid w:val="007850F6"/>
    <w:rsid w:val="00785F79"/>
    <w:rsid w:val="007860AE"/>
    <w:rsid w:val="00787918"/>
    <w:rsid w:val="00791982"/>
    <w:rsid w:val="00794C9D"/>
    <w:rsid w:val="007A2FF8"/>
    <w:rsid w:val="007A4F14"/>
    <w:rsid w:val="007B0EE1"/>
    <w:rsid w:val="007B1B6A"/>
    <w:rsid w:val="007B4260"/>
    <w:rsid w:val="007B4E66"/>
    <w:rsid w:val="007C54F4"/>
    <w:rsid w:val="007C5796"/>
    <w:rsid w:val="007D35DB"/>
    <w:rsid w:val="007D3990"/>
    <w:rsid w:val="007E1939"/>
    <w:rsid w:val="007E3901"/>
    <w:rsid w:val="007E399E"/>
    <w:rsid w:val="007E55ED"/>
    <w:rsid w:val="007E57DE"/>
    <w:rsid w:val="007E69AD"/>
    <w:rsid w:val="007E797D"/>
    <w:rsid w:val="007F1983"/>
    <w:rsid w:val="007F1BAD"/>
    <w:rsid w:val="007F43F3"/>
    <w:rsid w:val="007F4C7A"/>
    <w:rsid w:val="00801FD1"/>
    <w:rsid w:val="008057D1"/>
    <w:rsid w:val="00806F8F"/>
    <w:rsid w:val="00807064"/>
    <w:rsid w:val="00807422"/>
    <w:rsid w:val="008106BB"/>
    <w:rsid w:val="00813DD2"/>
    <w:rsid w:val="0081530E"/>
    <w:rsid w:val="00815BC6"/>
    <w:rsid w:val="0081747B"/>
    <w:rsid w:val="00817ED8"/>
    <w:rsid w:val="00821E55"/>
    <w:rsid w:val="00825D14"/>
    <w:rsid w:val="008275BC"/>
    <w:rsid w:val="00836156"/>
    <w:rsid w:val="008365B6"/>
    <w:rsid w:val="008375CA"/>
    <w:rsid w:val="00840BFC"/>
    <w:rsid w:val="00840E7F"/>
    <w:rsid w:val="008429E2"/>
    <w:rsid w:val="008514F7"/>
    <w:rsid w:val="00851A9B"/>
    <w:rsid w:val="00851CE5"/>
    <w:rsid w:val="00852C1E"/>
    <w:rsid w:val="00854260"/>
    <w:rsid w:val="0085455E"/>
    <w:rsid w:val="00857E5D"/>
    <w:rsid w:val="008603F3"/>
    <w:rsid w:val="00863C4C"/>
    <w:rsid w:val="00864390"/>
    <w:rsid w:val="00866054"/>
    <w:rsid w:val="00866262"/>
    <w:rsid w:val="00866676"/>
    <w:rsid w:val="00876BA0"/>
    <w:rsid w:val="008779DE"/>
    <w:rsid w:val="00877B10"/>
    <w:rsid w:val="008821FB"/>
    <w:rsid w:val="0088261F"/>
    <w:rsid w:val="008944E8"/>
    <w:rsid w:val="00895782"/>
    <w:rsid w:val="0089702B"/>
    <w:rsid w:val="00897C44"/>
    <w:rsid w:val="008A0AA9"/>
    <w:rsid w:val="008A3226"/>
    <w:rsid w:val="008A4A06"/>
    <w:rsid w:val="008A57B6"/>
    <w:rsid w:val="008A72A4"/>
    <w:rsid w:val="008A7AF6"/>
    <w:rsid w:val="008B3DDF"/>
    <w:rsid w:val="008B7AD0"/>
    <w:rsid w:val="008C1386"/>
    <w:rsid w:val="008C17F7"/>
    <w:rsid w:val="008C19AF"/>
    <w:rsid w:val="008C1A0A"/>
    <w:rsid w:val="008C348F"/>
    <w:rsid w:val="008C3C56"/>
    <w:rsid w:val="008C6E06"/>
    <w:rsid w:val="008D088D"/>
    <w:rsid w:val="008D38C9"/>
    <w:rsid w:val="008D4716"/>
    <w:rsid w:val="008D5259"/>
    <w:rsid w:val="008E6EFB"/>
    <w:rsid w:val="008F1AC1"/>
    <w:rsid w:val="008F2825"/>
    <w:rsid w:val="008F2A2E"/>
    <w:rsid w:val="008F79AF"/>
    <w:rsid w:val="008F7FB6"/>
    <w:rsid w:val="00900CAB"/>
    <w:rsid w:val="00901413"/>
    <w:rsid w:val="00901B40"/>
    <w:rsid w:val="00902712"/>
    <w:rsid w:val="009066FB"/>
    <w:rsid w:val="00910788"/>
    <w:rsid w:val="0091183C"/>
    <w:rsid w:val="009138FF"/>
    <w:rsid w:val="009155B7"/>
    <w:rsid w:val="00920658"/>
    <w:rsid w:val="00922FD9"/>
    <w:rsid w:val="00923D49"/>
    <w:rsid w:val="009257BA"/>
    <w:rsid w:val="00926F41"/>
    <w:rsid w:val="00931B9F"/>
    <w:rsid w:val="00933FC8"/>
    <w:rsid w:val="0093542D"/>
    <w:rsid w:val="0093664A"/>
    <w:rsid w:val="00941C3B"/>
    <w:rsid w:val="0094472D"/>
    <w:rsid w:val="009559A2"/>
    <w:rsid w:val="00956490"/>
    <w:rsid w:val="009605E5"/>
    <w:rsid w:val="00960651"/>
    <w:rsid w:val="009628A1"/>
    <w:rsid w:val="009644BD"/>
    <w:rsid w:val="00964D75"/>
    <w:rsid w:val="00965730"/>
    <w:rsid w:val="0096613F"/>
    <w:rsid w:val="00973F1B"/>
    <w:rsid w:val="00974D71"/>
    <w:rsid w:val="0097513D"/>
    <w:rsid w:val="0098101A"/>
    <w:rsid w:val="0098221A"/>
    <w:rsid w:val="009842B6"/>
    <w:rsid w:val="009848F3"/>
    <w:rsid w:val="009855D2"/>
    <w:rsid w:val="00987E17"/>
    <w:rsid w:val="00991D69"/>
    <w:rsid w:val="00992594"/>
    <w:rsid w:val="009964CB"/>
    <w:rsid w:val="009977D4"/>
    <w:rsid w:val="009A0BD3"/>
    <w:rsid w:val="009B1011"/>
    <w:rsid w:val="009B14E2"/>
    <w:rsid w:val="009B3E59"/>
    <w:rsid w:val="009B4178"/>
    <w:rsid w:val="009B74C4"/>
    <w:rsid w:val="009C0BB6"/>
    <w:rsid w:val="009C2A11"/>
    <w:rsid w:val="009C4B4D"/>
    <w:rsid w:val="009C4F2D"/>
    <w:rsid w:val="009D076F"/>
    <w:rsid w:val="009E443C"/>
    <w:rsid w:val="009F323B"/>
    <w:rsid w:val="009F47DF"/>
    <w:rsid w:val="009F6B2C"/>
    <w:rsid w:val="00A00CE7"/>
    <w:rsid w:val="00A01B1F"/>
    <w:rsid w:val="00A03D6E"/>
    <w:rsid w:val="00A0763C"/>
    <w:rsid w:val="00A10B49"/>
    <w:rsid w:val="00A2463E"/>
    <w:rsid w:val="00A32601"/>
    <w:rsid w:val="00A36801"/>
    <w:rsid w:val="00A3755A"/>
    <w:rsid w:val="00A420CF"/>
    <w:rsid w:val="00A43BF9"/>
    <w:rsid w:val="00A43C4B"/>
    <w:rsid w:val="00A44BFC"/>
    <w:rsid w:val="00A47B93"/>
    <w:rsid w:val="00A51A0C"/>
    <w:rsid w:val="00A52284"/>
    <w:rsid w:val="00A561EF"/>
    <w:rsid w:val="00A57666"/>
    <w:rsid w:val="00A6303C"/>
    <w:rsid w:val="00A8005F"/>
    <w:rsid w:val="00A87728"/>
    <w:rsid w:val="00A9727A"/>
    <w:rsid w:val="00AA319C"/>
    <w:rsid w:val="00AA55BC"/>
    <w:rsid w:val="00AA59FC"/>
    <w:rsid w:val="00AB09BE"/>
    <w:rsid w:val="00AB0D8D"/>
    <w:rsid w:val="00AB5761"/>
    <w:rsid w:val="00AB66A7"/>
    <w:rsid w:val="00AC0B1D"/>
    <w:rsid w:val="00AC2E48"/>
    <w:rsid w:val="00AC3B11"/>
    <w:rsid w:val="00AC3F83"/>
    <w:rsid w:val="00AC44FC"/>
    <w:rsid w:val="00AC5D4C"/>
    <w:rsid w:val="00AC5F3D"/>
    <w:rsid w:val="00AD05F4"/>
    <w:rsid w:val="00AD133A"/>
    <w:rsid w:val="00AD18ED"/>
    <w:rsid w:val="00AE1B9A"/>
    <w:rsid w:val="00AE3423"/>
    <w:rsid w:val="00AE3744"/>
    <w:rsid w:val="00AE4940"/>
    <w:rsid w:val="00AF12C3"/>
    <w:rsid w:val="00AF626E"/>
    <w:rsid w:val="00AF7E71"/>
    <w:rsid w:val="00B007FD"/>
    <w:rsid w:val="00B053AF"/>
    <w:rsid w:val="00B07AB2"/>
    <w:rsid w:val="00B102B0"/>
    <w:rsid w:val="00B128D0"/>
    <w:rsid w:val="00B1442C"/>
    <w:rsid w:val="00B16552"/>
    <w:rsid w:val="00B16590"/>
    <w:rsid w:val="00B20E4B"/>
    <w:rsid w:val="00B23E38"/>
    <w:rsid w:val="00B256A1"/>
    <w:rsid w:val="00B25A10"/>
    <w:rsid w:val="00B27680"/>
    <w:rsid w:val="00B27E11"/>
    <w:rsid w:val="00B334D8"/>
    <w:rsid w:val="00B33558"/>
    <w:rsid w:val="00B33AC0"/>
    <w:rsid w:val="00B3494A"/>
    <w:rsid w:val="00B35AE7"/>
    <w:rsid w:val="00B45E0A"/>
    <w:rsid w:val="00B473C2"/>
    <w:rsid w:val="00B51EEA"/>
    <w:rsid w:val="00B5451E"/>
    <w:rsid w:val="00B54948"/>
    <w:rsid w:val="00B54A82"/>
    <w:rsid w:val="00B616E2"/>
    <w:rsid w:val="00B623F7"/>
    <w:rsid w:val="00B64347"/>
    <w:rsid w:val="00B66BF2"/>
    <w:rsid w:val="00B70A59"/>
    <w:rsid w:val="00B72373"/>
    <w:rsid w:val="00B745E7"/>
    <w:rsid w:val="00B81D11"/>
    <w:rsid w:val="00B90502"/>
    <w:rsid w:val="00BA2E34"/>
    <w:rsid w:val="00BA3109"/>
    <w:rsid w:val="00BA48E4"/>
    <w:rsid w:val="00BA4946"/>
    <w:rsid w:val="00BA6447"/>
    <w:rsid w:val="00BB053B"/>
    <w:rsid w:val="00BB1922"/>
    <w:rsid w:val="00BD13AF"/>
    <w:rsid w:val="00BD1D17"/>
    <w:rsid w:val="00BD38BD"/>
    <w:rsid w:val="00BD3E11"/>
    <w:rsid w:val="00BD73D2"/>
    <w:rsid w:val="00BE2560"/>
    <w:rsid w:val="00BE6100"/>
    <w:rsid w:val="00BE6935"/>
    <w:rsid w:val="00BE7A6B"/>
    <w:rsid w:val="00BF1BDA"/>
    <w:rsid w:val="00BF2985"/>
    <w:rsid w:val="00BF473C"/>
    <w:rsid w:val="00BF7584"/>
    <w:rsid w:val="00C15E81"/>
    <w:rsid w:val="00C16FC8"/>
    <w:rsid w:val="00C20B3D"/>
    <w:rsid w:val="00C24F80"/>
    <w:rsid w:val="00C25E55"/>
    <w:rsid w:val="00C26F01"/>
    <w:rsid w:val="00C335AA"/>
    <w:rsid w:val="00C34C62"/>
    <w:rsid w:val="00C37F58"/>
    <w:rsid w:val="00C4080D"/>
    <w:rsid w:val="00C47271"/>
    <w:rsid w:val="00C4770B"/>
    <w:rsid w:val="00C5155E"/>
    <w:rsid w:val="00C54DB5"/>
    <w:rsid w:val="00C56565"/>
    <w:rsid w:val="00C60924"/>
    <w:rsid w:val="00C6186A"/>
    <w:rsid w:val="00C622D7"/>
    <w:rsid w:val="00C6434F"/>
    <w:rsid w:val="00C65F2A"/>
    <w:rsid w:val="00C6654D"/>
    <w:rsid w:val="00C67148"/>
    <w:rsid w:val="00C703E9"/>
    <w:rsid w:val="00C7389E"/>
    <w:rsid w:val="00C76116"/>
    <w:rsid w:val="00C846E3"/>
    <w:rsid w:val="00C86804"/>
    <w:rsid w:val="00C86B2B"/>
    <w:rsid w:val="00C90A85"/>
    <w:rsid w:val="00C94367"/>
    <w:rsid w:val="00C96B74"/>
    <w:rsid w:val="00CA0B1E"/>
    <w:rsid w:val="00CA2C7F"/>
    <w:rsid w:val="00CA3272"/>
    <w:rsid w:val="00CB125B"/>
    <w:rsid w:val="00CB15D1"/>
    <w:rsid w:val="00CB2342"/>
    <w:rsid w:val="00CB323A"/>
    <w:rsid w:val="00CB51AA"/>
    <w:rsid w:val="00CB5D95"/>
    <w:rsid w:val="00CB5ECB"/>
    <w:rsid w:val="00CC201A"/>
    <w:rsid w:val="00CC2EAD"/>
    <w:rsid w:val="00CC317B"/>
    <w:rsid w:val="00CC4615"/>
    <w:rsid w:val="00CC4CF9"/>
    <w:rsid w:val="00CC4D81"/>
    <w:rsid w:val="00CC5B95"/>
    <w:rsid w:val="00CC6D09"/>
    <w:rsid w:val="00CC756E"/>
    <w:rsid w:val="00CD0424"/>
    <w:rsid w:val="00CD0510"/>
    <w:rsid w:val="00CD073A"/>
    <w:rsid w:val="00CD170A"/>
    <w:rsid w:val="00CE0AE0"/>
    <w:rsid w:val="00CE5B3B"/>
    <w:rsid w:val="00CE6023"/>
    <w:rsid w:val="00CF26B8"/>
    <w:rsid w:val="00CF3363"/>
    <w:rsid w:val="00CF3A23"/>
    <w:rsid w:val="00CF5326"/>
    <w:rsid w:val="00CF5E2F"/>
    <w:rsid w:val="00D0196A"/>
    <w:rsid w:val="00D02188"/>
    <w:rsid w:val="00D03EA7"/>
    <w:rsid w:val="00D1023D"/>
    <w:rsid w:val="00D14398"/>
    <w:rsid w:val="00D15A04"/>
    <w:rsid w:val="00D17142"/>
    <w:rsid w:val="00D209C5"/>
    <w:rsid w:val="00D2152F"/>
    <w:rsid w:val="00D21B0D"/>
    <w:rsid w:val="00D24FB1"/>
    <w:rsid w:val="00D31DA7"/>
    <w:rsid w:val="00D34B30"/>
    <w:rsid w:val="00D3612E"/>
    <w:rsid w:val="00D37F40"/>
    <w:rsid w:val="00D416BF"/>
    <w:rsid w:val="00D4343B"/>
    <w:rsid w:val="00D453B2"/>
    <w:rsid w:val="00D508EF"/>
    <w:rsid w:val="00D54779"/>
    <w:rsid w:val="00D61076"/>
    <w:rsid w:val="00D61C89"/>
    <w:rsid w:val="00D62019"/>
    <w:rsid w:val="00D621FF"/>
    <w:rsid w:val="00D623D1"/>
    <w:rsid w:val="00D63B9F"/>
    <w:rsid w:val="00D66FE6"/>
    <w:rsid w:val="00D67183"/>
    <w:rsid w:val="00D67B92"/>
    <w:rsid w:val="00D709A5"/>
    <w:rsid w:val="00D72691"/>
    <w:rsid w:val="00D83670"/>
    <w:rsid w:val="00D8570F"/>
    <w:rsid w:val="00D85730"/>
    <w:rsid w:val="00D85C41"/>
    <w:rsid w:val="00D92801"/>
    <w:rsid w:val="00D92A9E"/>
    <w:rsid w:val="00D93977"/>
    <w:rsid w:val="00D95248"/>
    <w:rsid w:val="00D96610"/>
    <w:rsid w:val="00DA0613"/>
    <w:rsid w:val="00DA1CFC"/>
    <w:rsid w:val="00DA25E7"/>
    <w:rsid w:val="00DA3648"/>
    <w:rsid w:val="00DA3FD4"/>
    <w:rsid w:val="00DA7DC9"/>
    <w:rsid w:val="00DC24DD"/>
    <w:rsid w:val="00DC33D0"/>
    <w:rsid w:val="00DC3CA2"/>
    <w:rsid w:val="00DC67DC"/>
    <w:rsid w:val="00DC7801"/>
    <w:rsid w:val="00DD0B55"/>
    <w:rsid w:val="00DD77DE"/>
    <w:rsid w:val="00DE050E"/>
    <w:rsid w:val="00DE1653"/>
    <w:rsid w:val="00DE25A0"/>
    <w:rsid w:val="00DE25F3"/>
    <w:rsid w:val="00DE263D"/>
    <w:rsid w:val="00DE48AB"/>
    <w:rsid w:val="00DF1EF2"/>
    <w:rsid w:val="00DF2B1A"/>
    <w:rsid w:val="00DF33ED"/>
    <w:rsid w:val="00E0048A"/>
    <w:rsid w:val="00E00C6A"/>
    <w:rsid w:val="00E043CC"/>
    <w:rsid w:val="00E06BE9"/>
    <w:rsid w:val="00E06D3C"/>
    <w:rsid w:val="00E133A9"/>
    <w:rsid w:val="00E146D4"/>
    <w:rsid w:val="00E169B3"/>
    <w:rsid w:val="00E16B99"/>
    <w:rsid w:val="00E172E7"/>
    <w:rsid w:val="00E178EA"/>
    <w:rsid w:val="00E20693"/>
    <w:rsid w:val="00E20A03"/>
    <w:rsid w:val="00E2284B"/>
    <w:rsid w:val="00E23C5B"/>
    <w:rsid w:val="00E2724D"/>
    <w:rsid w:val="00E27DA6"/>
    <w:rsid w:val="00E31B5E"/>
    <w:rsid w:val="00E3257C"/>
    <w:rsid w:val="00E33A1A"/>
    <w:rsid w:val="00E36257"/>
    <w:rsid w:val="00E41A21"/>
    <w:rsid w:val="00E426B7"/>
    <w:rsid w:val="00E42CEF"/>
    <w:rsid w:val="00E43C8A"/>
    <w:rsid w:val="00E44882"/>
    <w:rsid w:val="00E457DA"/>
    <w:rsid w:val="00E4628E"/>
    <w:rsid w:val="00E47052"/>
    <w:rsid w:val="00E477AF"/>
    <w:rsid w:val="00E51619"/>
    <w:rsid w:val="00E53152"/>
    <w:rsid w:val="00E5563A"/>
    <w:rsid w:val="00E56BBC"/>
    <w:rsid w:val="00E60C1D"/>
    <w:rsid w:val="00E648ED"/>
    <w:rsid w:val="00E7179B"/>
    <w:rsid w:val="00E74482"/>
    <w:rsid w:val="00E76AC0"/>
    <w:rsid w:val="00E81A10"/>
    <w:rsid w:val="00E82EC6"/>
    <w:rsid w:val="00E82FEF"/>
    <w:rsid w:val="00E842E9"/>
    <w:rsid w:val="00E857DA"/>
    <w:rsid w:val="00E859C7"/>
    <w:rsid w:val="00E863E8"/>
    <w:rsid w:val="00E87017"/>
    <w:rsid w:val="00E876EF"/>
    <w:rsid w:val="00E87A01"/>
    <w:rsid w:val="00E910C5"/>
    <w:rsid w:val="00E91250"/>
    <w:rsid w:val="00E94CB8"/>
    <w:rsid w:val="00EA04E4"/>
    <w:rsid w:val="00EA140A"/>
    <w:rsid w:val="00EA1FC7"/>
    <w:rsid w:val="00EA2310"/>
    <w:rsid w:val="00EA4A5D"/>
    <w:rsid w:val="00EA631D"/>
    <w:rsid w:val="00EA73CD"/>
    <w:rsid w:val="00EB115B"/>
    <w:rsid w:val="00EB2195"/>
    <w:rsid w:val="00EB2956"/>
    <w:rsid w:val="00EB6D61"/>
    <w:rsid w:val="00EB79A5"/>
    <w:rsid w:val="00EC2A31"/>
    <w:rsid w:val="00EC5234"/>
    <w:rsid w:val="00EC5B85"/>
    <w:rsid w:val="00EC612A"/>
    <w:rsid w:val="00EC7B5A"/>
    <w:rsid w:val="00ED1AC0"/>
    <w:rsid w:val="00ED3055"/>
    <w:rsid w:val="00ED4083"/>
    <w:rsid w:val="00ED5DF6"/>
    <w:rsid w:val="00ED6A53"/>
    <w:rsid w:val="00ED77AF"/>
    <w:rsid w:val="00EE0AFF"/>
    <w:rsid w:val="00EE0EA3"/>
    <w:rsid w:val="00EE1220"/>
    <w:rsid w:val="00EE2045"/>
    <w:rsid w:val="00EE2354"/>
    <w:rsid w:val="00EE5E4D"/>
    <w:rsid w:val="00EE64CD"/>
    <w:rsid w:val="00EF03DA"/>
    <w:rsid w:val="00EF25B5"/>
    <w:rsid w:val="00EF3043"/>
    <w:rsid w:val="00EF405C"/>
    <w:rsid w:val="00EF47AB"/>
    <w:rsid w:val="00EF65B6"/>
    <w:rsid w:val="00EF6EDB"/>
    <w:rsid w:val="00F00A45"/>
    <w:rsid w:val="00F03962"/>
    <w:rsid w:val="00F039A1"/>
    <w:rsid w:val="00F047B9"/>
    <w:rsid w:val="00F05C95"/>
    <w:rsid w:val="00F07C83"/>
    <w:rsid w:val="00F104A9"/>
    <w:rsid w:val="00F12318"/>
    <w:rsid w:val="00F128B5"/>
    <w:rsid w:val="00F13E6E"/>
    <w:rsid w:val="00F1416A"/>
    <w:rsid w:val="00F1459E"/>
    <w:rsid w:val="00F150AD"/>
    <w:rsid w:val="00F17445"/>
    <w:rsid w:val="00F2128D"/>
    <w:rsid w:val="00F259C0"/>
    <w:rsid w:val="00F306B4"/>
    <w:rsid w:val="00F325B1"/>
    <w:rsid w:val="00F342E4"/>
    <w:rsid w:val="00F373E8"/>
    <w:rsid w:val="00F37BC1"/>
    <w:rsid w:val="00F44ED8"/>
    <w:rsid w:val="00F51E08"/>
    <w:rsid w:val="00F523BE"/>
    <w:rsid w:val="00F539F4"/>
    <w:rsid w:val="00F57069"/>
    <w:rsid w:val="00F62A41"/>
    <w:rsid w:val="00F656E8"/>
    <w:rsid w:val="00F66A3C"/>
    <w:rsid w:val="00F714B8"/>
    <w:rsid w:val="00F7176F"/>
    <w:rsid w:val="00F75BA5"/>
    <w:rsid w:val="00F80181"/>
    <w:rsid w:val="00F80E6D"/>
    <w:rsid w:val="00F8305E"/>
    <w:rsid w:val="00F83A67"/>
    <w:rsid w:val="00F909F8"/>
    <w:rsid w:val="00F93BF6"/>
    <w:rsid w:val="00FA2A95"/>
    <w:rsid w:val="00FA2E1F"/>
    <w:rsid w:val="00FA6FC0"/>
    <w:rsid w:val="00FB0277"/>
    <w:rsid w:val="00FB0995"/>
    <w:rsid w:val="00FB41B2"/>
    <w:rsid w:val="00FB4284"/>
    <w:rsid w:val="00FB4FF0"/>
    <w:rsid w:val="00FB67E9"/>
    <w:rsid w:val="00FC054E"/>
    <w:rsid w:val="00FC075C"/>
    <w:rsid w:val="00FC257D"/>
    <w:rsid w:val="00FC3B5C"/>
    <w:rsid w:val="00FC3B70"/>
    <w:rsid w:val="00FD0076"/>
    <w:rsid w:val="00FD04A6"/>
    <w:rsid w:val="00FD0CE1"/>
    <w:rsid w:val="00FD1796"/>
    <w:rsid w:val="00FD2FF8"/>
    <w:rsid w:val="00FD3162"/>
    <w:rsid w:val="00FD49AF"/>
    <w:rsid w:val="00FE08DB"/>
    <w:rsid w:val="00FE20CF"/>
    <w:rsid w:val="00FE216D"/>
    <w:rsid w:val="00FE2FCC"/>
    <w:rsid w:val="00FE425F"/>
    <w:rsid w:val="00FE7500"/>
    <w:rsid w:val="00FF2609"/>
    <w:rsid w:val="00FF3E9A"/>
    <w:rsid w:val="00FF4ED2"/>
    <w:rsid w:val="00FF6F68"/>
    <w:rsid w:val="00FF7678"/>
    <w:rsid w:val="00FF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86922787">
      <w:bodyDiv w:val="1"/>
      <w:marLeft w:val="0"/>
      <w:marRight w:val="0"/>
      <w:marTop w:val="0"/>
      <w:marBottom w:val="0"/>
      <w:divBdr>
        <w:top w:val="none" w:sz="0" w:space="0" w:color="auto"/>
        <w:left w:val="none" w:sz="0" w:space="0" w:color="auto"/>
        <w:bottom w:val="none" w:sz="0" w:space="0" w:color="auto"/>
        <w:right w:val="none" w:sz="0" w:space="0" w:color="auto"/>
      </w:divBdr>
    </w:div>
    <w:div w:id="103693351">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556359164">
          <w:marLeft w:val="0"/>
          <w:marRight w:val="0"/>
          <w:marTop w:val="0"/>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72371186">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620190410">
      <w:bodyDiv w:val="1"/>
      <w:marLeft w:val="0"/>
      <w:marRight w:val="0"/>
      <w:marTop w:val="0"/>
      <w:marBottom w:val="0"/>
      <w:divBdr>
        <w:top w:val="none" w:sz="0" w:space="0" w:color="auto"/>
        <w:left w:val="none" w:sz="0" w:space="0" w:color="auto"/>
        <w:bottom w:val="none" w:sz="0" w:space="0" w:color="auto"/>
        <w:right w:val="none" w:sz="0" w:space="0" w:color="auto"/>
      </w:divBdr>
    </w:div>
    <w:div w:id="631056058">
      <w:bodyDiv w:val="1"/>
      <w:marLeft w:val="0"/>
      <w:marRight w:val="0"/>
      <w:marTop w:val="0"/>
      <w:marBottom w:val="0"/>
      <w:divBdr>
        <w:top w:val="none" w:sz="0" w:space="0" w:color="auto"/>
        <w:left w:val="none" w:sz="0" w:space="0" w:color="auto"/>
        <w:bottom w:val="none" w:sz="0" w:space="0" w:color="auto"/>
        <w:right w:val="none" w:sz="0" w:space="0" w:color="auto"/>
      </w:divBdr>
    </w:div>
    <w:div w:id="640229769">
      <w:bodyDiv w:val="1"/>
      <w:marLeft w:val="0"/>
      <w:marRight w:val="0"/>
      <w:marTop w:val="0"/>
      <w:marBottom w:val="0"/>
      <w:divBdr>
        <w:top w:val="none" w:sz="0" w:space="0" w:color="auto"/>
        <w:left w:val="none" w:sz="0" w:space="0" w:color="auto"/>
        <w:bottom w:val="none" w:sz="0" w:space="0" w:color="auto"/>
        <w:right w:val="none" w:sz="0" w:space="0" w:color="auto"/>
      </w:divBdr>
    </w:div>
    <w:div w:id="735513672">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127">
      <w:bodyDiv w:val="1"/>
      <w:marLeft w:val="0"/>
      <w:marRight w:val="0"/>
      <w:marTop w:val="0"/>
      <w:marBottom w:val="0"/>
      <w:divBdr>
        <w:top w:val="none" w:sz="0" w:space="0" w:color="auto"/>
        <w:left w:val="none" w:sz="0" w:space="0" w:color="auto"/>
        <w:bottom w:val="none" w:sz="0" w:space="0" w:color="auto"/>
        <w:right w:val="none" w:sz="0" w:space="0" w:color="auto"/>
      </w:divBdr>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898054027">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 w:id="1106928608">
          <w:marLeft w:val="0"/>
          <w:marRight w:val="0"/>
          <w:marTop w:val="0"/>
          <w:marBottom w:val="0"/>
          <w:divBdr>
            <w:top w:val="none" w:sz="0" w:space="0" w:color="auto"/>
            <w:left w:val="none" w:sz="0" w:space="0" w:color="auto"/>
            <w:bottom w:val="none" w:sz="0" w:space="0" w:color="auto"/>
            <w:right w:val="none" w:sz="0" w:space="0" w:color="auto"/>
          </w:divBdr>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2767749">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411537168">
          <w:marLeft w:val="0"/>
          <w:marRight w:val="0"/>
          <w:marTop w:val="0"/>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07848699">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784271442">
          <w:marLeft w:val="0"/>
          <w:marRight w:val="0"/>
          <w:marTop w:val="75"/>
          <w:marBottom w:val="0"/>
          <w:divBdr>
            <w:top w:val="none" w:sz="0" w:space="0" w:color="auto"/>
            <w:left w:val="none" w:sz="0" w:space="0" w:color="auto"/>
            <w:bottom w:val="none" w:sz="0" w:space="0" w:color="auto"/>
            <w:right w:val="none" w:sz="0" w:space="0" w:color="auto"/>
          </w:divBdr>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50007011">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1967276632">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mcordi.sc.gov.br/estruturaorganizacional/hotsite/index/codHotsite/2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cordi.sc.gov.br/estruturaorganizacional/hotsite/index/codHotsite/239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mcordi.sc.gov.br/estruturaorganizacional/hotsite/index/codHotsite/23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DDE3-C38A-400B-B7BB-55273648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38</Pages>
  <Words>9977</Words>
  <Characters>53879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cp:lastModifiedBy>
  <cp:revision>33</cp:revision>
  <cp:lastPrinted>2018-02-19T22:23:00Z</cp:lastPrinted>
  <dcterms:created xsi:type="dcterms:W3CDTF">2018-02-25T23:12:00Z</dcterms:created>
  <dcterms:modified xsi:type="dcterms:W3CDTF">2020-02-27T22:14:00Z</dcterms:modified>
</cp:coreProperties>
</file>